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56" w:rsidRDefault="00243356" w:rsidP="00670A59">
      <w:pPr>
        <w:pStyle w:val="NoSpacing"/>
      </w:pPr>
      <w:r>
        <w:t>Part I</w:t>
      </w:r>
    </w:p>
    <w:p w:rsidR="00243356" w:rsidRDefault="00243356" w:rsidP="00670A59">
      <w:pPr>
        <w:pStyle w:val="NoSpacing"/>
      </w:pPr>
    </w:p>
    <w:p w:rsidR="00A71A77" w:rsidRDefault="00A71A77" w:rsidP="00670A59">
      <w:pPr>
        <w:pStyle w:val="NoSpacing"/>
      </w:pPr>
      <w:r>
        <w:t xml:space="preserve">1. Find a linear polynomial p(x) that is a tangent-line approximation for the function: ƒ(x) = </w:t>
      </w:r>
      <w:proofErr w:type="gramStart"/>
      <w:r>
        <w:t>exp(</w:t>
      </w:r>
      <w:proofErr w:type="gramEnd"/>
      <w:r>
        <w:t>2x – 4)</w:t>
      </w:r>
    </w:p>
    <w:p w:rsidR="00A71A77" w:rsidRDefault="00A71A77" w:rsidP="00670A59">
      <w:pPr>
        <w:pStyle w:val="NoSpacing"/>
      </w:pPr>
      <w:proofErr w:type="gramStart"/>
      <w:r>
        <w:t>at</w:t>
      </w:r>
      <w:proofErr w:type="gramEnd"/>
      <w:r>
        <w:t xml:space="preserve"> the point x0 = 3.</w:t>
      </w:r>
    </w:p>
    <w:p w:rsidR="00A71A77" w:rsidRDefault="00A71A77" w:rsidP="00670A59">
      <w:pPr>
        <w:pStyle w:val="NoSpacing"/>
      </w:pPr>
      <w:r>
        <w:t>a) 14.778x – 36.945</w:t>
      </w:r>
    </w:p>
    <w:p w:rsidR="00A71A77" w:rsidRDefault="00A71A77" w:rsidP="00670A59">
      <w:pPr>
        <w:pStyle w:val="NoSpacing"/>
      </w:pPr>
      <w:r>
        <w:t>b) 7.389x + 2.718</w:t>
      </w:r>
    </w:p>
    <w:p w:rsidR="00A71A77" w:rsidRDefault="00A71A77" w:rsidP="00670A59">
      <w:pPr>
        <w:pStyle w:val="NoSpacing"/>
      </w:pPr>
      <w:proofErr w:type="gramStart"/>
      <w:r>
        <w:t>c) 2.718x</w:t>
      </w:r>
      <w:proofErr w:type="gramEnd"/>
    </w:p>
    <w:p w:rsidR="00A71A77" w:rsidRDefault="00A71A77" w:rsidP="00670A59">
      <w:pPr>
        <w:pStyle w:val="NoSpacing"/>
      </w:pPr>
      <w:proofErr w:type="gramStart"/>
      <w:r>
        <w:t>d) 14.778x</w:t>
      </w:r>
      <w:proofErr w:type="gramEnd"/>
      <w:r>
        <w:t xml:space="preserve"> + 0.018</w:t>
      </w:r>
    </w:p>
    <w:p w:rsidR="00A71A77" w:rsidRDefault="00A71A77" w:rsidP="00670A59">
      <w:pPr>
        <w:pStyle w:val="NoSpacing"/>
      </w:pPr>
      <w:r>
        <w:t xml:space="preserve">                                                           ₀                       </w:t>
      </w:r>
    </w:p>
    <w:p w:rsidR="00A71A77" w:rsidRDefault="00A71A77" w:rsidP="00670A59">
      <w:pPr>
        <w:pStyle w:val="NoSpacing"/>
      </w:pPr>
      <w:r>
        <w:t>2. Evaluate the definite integral: ʃ xex2 dx</w:t>
      </w:r>
    </w:p>
    <w:p w:rsidR="00A71A77" w:rsidRDefault="00A71A77" w:rsidP="00670A59">
      <w:pPr>
        <w:pStyle w:val="NoSpacing"/>
      </w:pPr>
      <w:r>
        <w:t xml:space="preserve">                                                           ₂</w:t>
      </w:r>
    </w:p>
    <w:p w:rsidR="00A71A77" w:rsidRDefault="00A71A77" w:rsidP="00670A59">
      <w:pPr>
        <w:pStyle w:val="NoSpacing"/>
      </w:pPr>
      <w:r>
        <w:t>a) 5.437</w:t>
      </w:r>
    </w:p>
    <w:p w:rsidR="00A71A77" w:rsidRDefault="00A71A77" w:rsidP="00670A59">
      <w:pPr>
        <w:pStyle w:val="NoSpacing"/>
      </w:pPr>
      <w:r>
        <w:t>b) 26.799</w:t>
      </w:r>
    </w:p>
    <w:p w:rsidR="00A71A77" w:rsidRDefault="00A71A77" w:rsidP="00670A59">
      <w:pPr>
        <w:pStyle w:val="NoSpacing"/>
      </w:pPr>
      <w:r>
        <w:t>c) 21.285</w:t>
      </w:r>
    </w:p>
    <w:p w:rsidR="00A71A77" w:rsidRDefault="00A71A77" w:rsidP="00670A59">
      <w:pPr>
        <w:pStyle w:val="NoSpacing"/>
      </w:pPr>
      <w:r>
        <w:t>d) 7.389</w:t>
      </w:r>
    </w:p>
    <w:p w:rsidR="00670A59" w:rsidRDefault="00670A59" w:rsidP="00670A59">
      <w:pPr>
        <w:pStyle w:val="NoSpacing"/>
      </w:pPr>
    </w:p>
    <w:p w:rsidR="00A71A77" w:rsidRDefault="00A71A77" w:rsidP="00670A59">
      <w:pPr>
        <w:pStyle w:val="NoSpacing"/>
      </w:pPr>
      <w:r>
        <w:t>3. Which of the following statements is false?</w:t>
      </w:r>
    </w:p>
    <w:p w:rsidR="00A71A77" w:rsidRDefault="00A71A77" w:rsidP="00670A59">
      <w:pPr>
        <w:pStyle w:val="NoSpacing"/>
      </w:pPr>
      <w:r>
        <w:t>a) Singular matrices have determinant 0.</w:t>
      </w:r>
    </w:p>
    <w:p w:rsidR="00A71A77" w:rsidRDefault="00A71A77" w:rsidP="00670A59">
      <w:pPr>
        <w:pStyle w:val="NoSpacing"/>
      </w:pPr>
      <w:r>
        <w:t>b) Singular matrices have columns that are not independent vectors.</w:t>
      </w:r>
    </w:p>
    <w:p w:rsidR="00A71A77" w:rsidRDefault="00A71A77" w:rsidP="00670A59">
      <w:pPr>
        <w:pStyle w:val="NoSpacing"/>
      </w:pPr>
      <w:r>
        <w:t>c) A product of two non-singular matrices can be singular.</w:t>
      </w:r>
    </w:p>
    <w:p w:rsidR="00A71A77" w:rsidRDefault="00A71A77" w:rsidP="00670A59">
      <w:pPr>
        <w:pStyle w:val="NoSpacing"/>
      </w:pPr>
      <w:r>
        <w:t>d) Singular matrices have 0 as an eigenvalue.</w:t>
      </w:r>
    </w:p>
    <w:p w:rsidR="00670A59" w:rsidRDefault="00670A59" w:rsidP="00670A59">
      <w:pPr>
        <w:pStyle w:val="NoSpacing"/>
      </w:pPr>
    </w:p>
    <w:p w:rsidR="00A71A77" w:rsidRDefault="00A71A77" w:rsidP="00670A59">
      <w:pPr>
        <w:pStyle w:val="NoSpacing"/>
      </w:pPr>
      <w:r>
        <w:t>4. Determine the inverse matrix of: (1 2</w:t>
      </w:r>
    </w:p>
    <w:p w:rsidR="00A71A77" w:rsidRDefault="00A71A77" w:rsidP="00670A59">
      <w:pPr>
        <w:pStyle w:val="NoSpacing"/>
      </w:pPr>
      <w:r>
        <w:t xml:space="preserve">                                                                  0 2)</w:t>
      </w:r>
    </w:p>
    <w:p w:rsidR="00670A59" w:rsidRDefault="00670A59" w:rsidP="00670A59">
      <w:pPr>
        <w:pStyle w:val="NoSpacing"/>
      </w:pPr>
    </w:p>
    <w:p w:rsidR="00A71A77" w:rsidRDefault="00A71A77" w:rsidP="00670A59">
      <w:pPr>
        <w:pStyle w:val="NoSpacing"/>
      </w:pPr>
      <w:r>
        <w:t>a) (1 2              b) (1 1                    c) (</w:t>
      </w:r>
      <w:proofErr w:type="gramStart"/>
      <w:r>
        <w:t>0.5  1</w:t>
      </w:r>
      <w:proofErr w:type="gramEnd"/>
      <w:r>
        <w:t xml:space="preserve">                      d) (1  1</w:t>
      </w:r>
    </w:p>
    <w:p w:rsidR="00A71A77" w:rsidRDefault="00A71A77" w:rsidP="00670A59">
      <w:pPr>
        <w:pStyle w:val="NoSpacing"/>
      </w:pPr>
      <w:r>
        <w:t xml:space="preserve">     0 0.5)              0 0.5)                         </w:t>
      </w:r>
      <w:proofErr w:type="gramStart"/>
      <w:r>
        <w:t>0  1</w:t>
      </w:r>
      <w:proofErr w:type="gramEnd"/>
      <w:r>
        <w:t>)                          0.5  0)</w:t>
      </w:r>
    </w:p>
    <w:p w:rsidR="00670A59" w:rsidRDefault="00670A59" w:rsidP="00670A59">
      <w:pPr>
        <w:pStyle w:val="NoSpacing"/>
      </w:pPr>
    </w:p>
    <w:p w:rsidR="00A71A77" w:rsidRDefault="00A71A77" w:rsidP="00670A59">
      <w:pPr>
        <w:pStyle w:val="NoSpacing"/>
      </w:pPr>
      <w:r>
        <w:t xml:space="preserve">5. What can we say about the sum X + Y of two independent normal random variables X and </w:t>
      </w:r>
      <w:proofErr w:type="gramStart"/>
      <w:r>
        <w:t>Y:</w:t>
      </w:r>
      <w:proofErr w:type="gramEnd"/>
    </w:p>
    <w:p w:rsidR="00A71A77" w:rsidRDefault="00A71A77" w:rsidP="00670A59">
      <w:pPr>
        <w:pStyle w:val="NoSpacing"/>
      </w:pPr>
      <w:r>
        <w:t>a) It is normal only if X and Y have the same mean</w:t>
      </w:r>
    </w:p>
    <w:p w:rsidR="00A71A77" w:rsidRDefault="00A71A77" w:rsidP="00670A59">
      <w:pPr>
        <w:pStyle w:val="NoSpacing"/>
      </w:pPr>
      <w:r>
        <w:t>b) It is always normal</w:t>
      </w:r>
    </w:p>
    <w:p w:rsidR="00A71A77" w:rsidRDefault="00A71A77" w:rsidP="00670A59">
      <w:pPr>
        <w:pStyle w:val="NoSpacing"/>
      </w:pPr>
      <w:r>
        <w:t>c) It is chi-squared</w:t>
      </w:r>
    </w:p>
    <w:p w:rsidR="00A71A77" w:rsidRDefault="00A71A77" w:rsidP="00670A59">
      <w:pPr>
        <w:pStyle w:val="NoSpacing"/>
      </w:pPr>
      <w:r>
        <w:t>d) It is chi-squared if X and Y both have mean 0</w:t>
      </w:r>
    </w:p>
    <w:p w:rsidR="00670A59" w:rsidRDefault="00670A59" w:rsidP="00670A59">
      <w:pPr>
        <w:pStyle w:val="NoSpacing"/>
      </w:pPr>
    </w:p>
    <w:p w:rsidR="00A71A77" w:rsidRDefault="00A71A77" w:rsidP="00670A59">
      <w:pPr>
        <w:pStyle w:val="NoSpacing"/>
      </w:pPr>
      <w:r>
        <w:t xml:space="preserve">6. What is the formula for the </w:t>
      </w:r>
      <w:proofErr w:type="spellStart"/>
      <w:r>
        <w:t>skewness</w:t>
      </w:r>
      <w:proofErr w:type="spellEnd"/>
      <w:r>
        <w:t xml:space="preserve"> of a random variable x that has mean μ and standard deviation σ?</w:t>
      </w:r>
    </w:p>
    <w:p w:rsidR="00A71A77" w:rsidRPr="00FB4A29" w:rsidRDefault="00A71A77" w:rsidP="00670A59">
      <w:pPr>
        <w:pStyle w:val="NoSpacing"/>
        <w:rPr>
          <w:lang w:val="es-MX"/>
        </w:rPr>
      </w:pPr>
      <w:r w:rsidRPr="00FB4A29">
        <w:rPr>
          <w:lang w:val="es-MX"/>
        </w:rPr>
        <w:t xml:space="preserve">a) </w:t>
      </w:r>
      <w:r w:rsidRPr="00FB4A29">
        <w:rPr>
          <w:u w:val="single"/>
          <w:lang w:val="es-MX"/>
        </w:rPr>
        <w:t>E ([x–</w:t>
      </w:r>
      <w:proofErr w:type="gramStart"/>
      <w:r w:rsidRPr="00A71A77">
        <w:rPr>
          <w:u w:val="single"/>
        </w:rPr>
        <w:t>σ</w:t>
      </w:r>
      <w:r w:rsidRPr="00FB4A29">
        <w:rPr>
          <w:u w:val="single"/>
          <w:lang w:val="es-MX"/>
        </w:rPr>
        <w:t xml:space="preserve"> ]2</w:t>
      </w:r>
      <w:proofErr w:type="gramEnd"/>
      <w:r w:rsidRPr="00FB4A29">
        <w:rPr>
          <w:u w:val="single"/>
          <w:lang w:val="es-MX"/>
        </w:rPr>
        <w:t>)</w:t>
      </w:r>
      <w:r w:rsidRPr="00FB4A29">
        <w:rPr>
          <w:lang w:val="es-MX"/>
        </w:rPr>
        <w:t xml:space="preserve">            b) </w:t>
      </w:r>
      <w:r w:rsidRPr="00FB4A29">
        <w:rPr>
          <w:u w:val="single"/>
          <w:lang w:val="es-MX"/>
        </w:rPr>
        <w:t>E ([x–</w:t>
      </w:r>
      <w:r w:rsidRPr="00A71A77">
        <w:rPr>
          <w:u w:val="single"/>
        </w:rPr>
        <w:t>μ</w:t>
      </w:r>
      <w:r w:rsidRPr="00FB4A29">
        <w:rPr>
          <w:u w:val="single"/>
          <w:lang w:val="es-MX"/>
        </w:rPr>
        <w:t xml:space="preserve"> ]4)</w:t>
      </w:r>
      <w:r w:rsidR="00CE39BC" w:rsidRPr="00FB4A29">
        <w:rPr>
          <w:lang w:val="es-MX"/>
        </w:rPr>
        <w:t xml:space="preserve">              c)   </w:t>
      </w:r>
      <w:r w:rsidR="00CE39BC" w:rsidRPr="00FB4A29">
        <w:rPr>
          <w:u w:val="single"/>
          <w:lang w:val="es-MX"/>
        </w:rPr>
        <w:t>E ([x–</w:t>
      </w:r>
      <w:r w:rsidR="00CE39BC" w:rsidRPr="00CE39BC">
        <w:rPr>
          <w:u w:val="single"/>
        </w:rPr>
        <w:t>μ</w:t>
      </w:r>
      <w:r w:rsidR="00CE39BC" w:rsidRPr="00FB4A29">
        <w:rPr>
          <w:u w:val="single"/>
          <w:lang w:val="es-MX"/>
        </w:rPr>
        <w:t xml:space="preserve"> ]3)</w:t>
      </w:r>
      <w:r w:rsidR="00CE39BC" w:rsidRPr="00FB4A29">
        <w:rPr>
          <w:lang w:val="es-MX"/>
        </w:rPr>
        <w:t xml:space="preserve">                             d) </w:t>
      </w:r>
      <w:r w:rsidR="00CE39BC" w:rsidRPr="00FB4A29">
        <w:rPr>
          <w:u w:val="single"/>
          <w:lang w:val="es-MX"/>
        </w:rPr>
        <w:t>E ([x–</w:t>
      </w:r>
      <w:r w:rsidR="00CE39BC" w:rsidRPr="00CE39BC">
        <w:rPr>
          <w:u w:val="single"/>
        </w:rPr>
        <w:t>μ</w:t>
      </w:r>
      <w:r w:rsidR="00CE39BC" w:rsidRPr="00FB4A29">
        <w:rPr>
          <w:u w:val="single"/>
          <w:lang w:val="es-MX"/>
        </w:rPr>
        <w:t xml:space="preserve"> ]4)</w:t>
      </w:r>
    </w:p>
    <w:p w:rsidR="00CE39BC" w:rsidRDefault="00CE39BC" w:rsidP="00670A59">
      <w:pPr>
        <w:pStyle w:val="NoSpacing"/>
      </w:pPr>
      <w:r w:rsidRPr="00FB4A29">
        <w:rPr>
          <w:lang w:val="es-MX"/>
        </w:rPr>
        <w:t xml:space="preserve">       </w:t>
      </w:r>
      <w:r w:rsidR="00A71A77">
        <w:t>μ2                               σ4</w:t>
      </w:r>
      <w:r>
        <w:t xml:space="preserve">                                    </w:t>
      </w:r>
      <w:r w:rsidRPr="00CE39BC">
        <w:t xml:space="preserve"> </w:t>
      </w:r>
      <w:r>
        <w:t>σ3                                           E ([x–</w:t>
      </w:r>
      <w:proofErr w:type="gramStart"/>
      <w:r>
        <w:t>σ ]4</w:t>
      </w:r>
      <w:proofErr w:type="gramEnd"/>
      <w:r>
        <w:t>)</w:t>
      </w:r>
    </w:p>
    <w:p w:rsidR="00670A59" w:rsidRDefault="00670A59" w:rsidP="00670A59">
      <w:pPr>
        <w:pStyle w:val="NoSpacing"/>
      </w:pPr>
    </w:p>
    <w:p w:rsidR="00CE39BC" w:rsidRDefault="00CE39BC" w:rsidP="00670A59">
      <w:pPr>
        <w:pStyle w:val="NoSpacing"/>
      </w:pPr>
      <w:r>
        <w:t>7. A covariance matrix for a random vector:</w:t>
      </w:r>
    </w:p>
    <w:p w:rsidR="00CE39BC" w:rsidRDefault="00CE39BC" w:rsidP="00670A59">
      <w:pPr>
        <w:pStyle w:val="NoSpacing"/>
      </w:pPr>
      <w:proofErr w:type="gramStart"/>
      <w:r>
        <w:t>a</w:t>
      </w:r>
      <w:proofErr w:type="gramEnd"/>
      <w:r>
        <w:t>) Is strictly positive definite, if it exists</w:t>
      </w:r>
    </w:p>
    <w:p w:rsidR="00CE39BC" w:rsidRDefault="00CE39BC" w:rsidP="00670A59">
      <w:pPr>
        <w:pStyle w:val="NoSpacing"/>
      </w:pPr>
      <w:proofErr w:type="gramStart"/>
      <w:r>
        <w:t>b</w:t>
      </w:r>
      <w:proofErr w:type="gramEnd"/>
      <w:r>
        <w:t>) Is nonsingular, if it exists</w:t>
      </w:r>
    </w:p>
    <w:p w:rsidR="00CE39BC" w:rsidRDefault="00CE39BC" w:rsidP="00670A59">
      <w:pPr>
        <w:pStyle w:val="NoSpacing"/>
      </w:pPr>
      <w:r>
        <w:t>c) Always exists</w:t>
      </w:r>
    </w:p>
    <w:p w:rsidR="00CE39BC" w:rsidRDefault="00CE39BC" w:rsidP="00670A59">
      <w:pPr>
        <w:pStyle w:val="NoSpacing"/>
      </w:pPr>
      <w:r>
        <w:t>d) None of the above</w:t>
      </w:r>
    </w:p>
    <w:p w:rsidR="00670A59" w:rsidRDefault="00670A59" w:rsidP="00670A59">
      <w:pPr>
        <w:pStyle w:val="NoSpacing"/>
      </w:pPr>
    </w:p>
    <w:p w:rsidR="00670A59" w:rsidRDefault="00670A59" w:rsidP="00670A59">
      <w:pPr>
        <w:pStyle w:val="NoSpacing"/>
      </w:pPr>
    </w:p>
    <w:p w:rsidR="00670A59" w:rsidRDefault="00670A59" w:rsidP="00670A59">
      <w:pPr>
        <w:pStyle w:val="NoSpacing"/>
      </w:pPr>
    </w:p>
    <w:p w:rsidR="00670A59" w:rsidRDefault="00670A59" w:rsidP="00670A59">
      <w:pPr>
        <w:pStyle w:val="NoSpacing"/>
      </w:pPr>
    </w:p>
    <w:p w:rsidR="00670A59" w:rsidRDefault="00670A59" w:rsidP="00670A59">
      <w:pPr>
        <w:pStyle w:val="NoSpacing"/>
      </w:pPr>
    </w:p>
    <w:p w:rsidR="00CE39BC" w:rsidRDefault="00CE39BC" w:rsidP="00670A59">
      <w:pPr>
        <w:pStyle w:val="NoSpacing"/>
        <w:rPr>
          <w:rFonts w:ascii="LucidaGrande" w:hAnsi="LucidaGrande" w:cs="LucidaGrande"/>
          <w:sz w:val="17"/>
          <w:szCs w:val="17"/>
        </w:rPr>
      </w:pPr>
      <w:r>
        <w:t>8. What is the standard deviation of a random variable Q with probability function ØO = {</w:t>
      </w:r>
      <w:r>
        <w:rPr>
          <w:rFonts w:ascii="LucidaGrande" w:hAnsi="LucidaGrande" w:cs="LucidaGrande"/>
          <w:sz w:val="16"/>
          <w:szCs w:val="16"/>
        </w:rPr>
        <w:t xml:space="preserve">.25 </w:t>
      </w:r>
      <w:r>
        <w:rPr>
          <w:rFonts w:ascii="ScalaSans-Italic" w:hAnsi="ScalaSans-Italic" w:cs="ScalaSans-Italic"/>
          <w:i/>
          <w:iCs/>
          <w:sz w:val="17"/>
          <w:szCs w:val="17"/>
        </w:rPr>
        <w:t xml:space="preserve">= </w:t>
      </w:r>
      <w:r>
        <w:rPr>
          <w:rFonts w:ascii="LucidaGrande" w:hAnsi="LucidaGrande" w:cs="LucidaGrande"/>
          <w:sz w:val="17"/>
          <w:szCs w:val="17"/>
        </w:rPr>
        <w:t>0</w:t>
      </w:r>
    </w:p>
    <w:p w:rsidR="00CE39BC" w:rsidRDefault="00CE39BC" w:rsidP="00670A59">
      <w:pPr>
        <w:pStyle w:val="NoSpacing"/>
        <w:rPr>
          <w:rFonts w:ascii="LucidaGrande" w:hAnsi="LucidaGrande" w:cs="LucidaGrande"/>
          <w:sz w:val="17"/>
          <w:szCs w:val="17"/>
        </w:rPr>
      </w:pPr>
      <w:r>
        <w:rPr>
          <w:rFonts w:ascii="LucidaGrande" w:hAnsi="LucidaGrande" w:cs="LucidaGrande"/>
          <w:sz w:val="16"/>
          <w:szCs w:val="16"/>
        </w:rPr>
        <w:t xml:space="preserve">                                                                                                                                                                                   .25 </w:t>
      </w:r>
      <w:r>
        <w:rPr>
          <w:rFonts w:ascii="ScalaSans-Italic" w:hAnsi="ScalaSans-Italic" w:cs="ScalaSans-Italic"/>
          <w:i/>
          <w:iCs/>
          <w:sz w:val="17"/>
          <w:szCs w:val="17"/>
        </w:rPr>
        <w:t xml:space="preserve">= </w:t>
      </w:r>
      <w:r>
        <w:rPr>
          <w:rFonts w:ascii="LucidaGrande" w:hAnsi="LucidaGrande" w:cs="LucidaGrande"/>
          <w:sz w:val="17"/>
          <w:szCs w:val="17"/>
        </w:rPr>
        <w:t>1</w:t>
      </w:r>
    </w:p>
    <w:p w:rsidR="00CE39BC" w:rsidRDefault="00CE39BC" w:rsidP="00670A59">
      <w:pPr>
        <w:pStyle w:val="NoSpacing"/>
      </w:pPr>
      <w:r>
        <w:rPr>
          <w:rFonts w:ascii="LucidaGrande" w:hAnsi="LucidaGrande" w:cs="LucidaGrande"/>
          <w:sz w:val="16"/>
          <w:szCs w:val="16"/>
        </w:rPr>
        <w:t xml:space="preserve">                                                                                                                                                                                   .50 </w:t>
      </w:r>
      <w:r>
        <w:rPr>
          <w:rFonts w:ascii="ScalaSans-Italic" w:hAnsi="ScalaSans-Italic" w:cs="ScalaSans-Italic"/>
          <w:i/>
          <w:iCs/>
          <w:sz w:val="17"/>
          <w:szCs w:val="17"/>
        </w:rPr>
        <w:t xml:space="preserve">= </w:t>
      </w:r>
      <w:r>
        <w:rPr>
          <w:rFonts w:ascii="LucidaGrande" w:hAnsi="LucidaGrande" w:cs="LucidaGrande"/>
          <w:sz w:val="17"/>
          <w:szCs w:val="17"/>
        </w:rPr>
        <w:t>2</w:t>
      </w:r>
    </w:p>
    <w:p w:rsidR="00CE39BC" w:rsidRDefault="00CE39BC" w:rsidP="00670A59">
      <w:pPr>
        <w:pStyle w:val="NoSpacing"/>
      </w:pPr>
      <w:r>
        <w:t>a) .6875</w:t>
      </w:r>
    </w:p>
    <w:p w:rsidR="00CE39BC" w:rsidRDefault="00CE39BC" w:rsidP="00670A59">
      <w:pPr>
        <w:pStyle w:val="NoSpacing"/>
      </w:pPr>
      <w:r>
        <w:t>b) .4727</w:t>
      </w:r>
    </w:p>
    <w:p w:rsidR="00CE39BC" w:rsidRDefault="00CE39BC" w:rsidP="00670A59">
      <w:pPr>
        <w:pStyle w:val="NoSpacing"/>
      </w:pPr>
      <w:r>
        <w:t>c) .8291</w:t>
      </w:r>
    </w:p>
    <w:p w:rsidR="00CE39BC" w:rsidRDefault="00CE39BC" w:rsidP="00670A59">
      <w:pPr>
        <w:pStyle w:val="NoSpacing"/>
      </w:pPr>
      <w:r>
        <w:t>d) .4281</w:t>
      </w:r>
    </w:p>
    <w:p w:rsidR="003C7CF6" w:rsidRDefault="003C7CF6" w:rsidP="00CE39BC"/>
    <w:p w:rsidR="003C7CF6" w:rsidRDefault="003C7CF6" w:rsidP="00CE39BC"/>
    <w:p w:rsidR="003C7CF6" w:rsidRDefault="003C7CF6" w:rsidP="00CE39BC"/>
    <w:p w:rsidR="003C7CF6" w:rsidRDefault="003C7CF6" w:rsidP="00CE39BC"/>
    <w:p w:rsidR="003C7CF6" w:rsidRDefault="003C7CF6" w:rsidP="00CE39BC"/>
    <w:p w:rsidR="003C7CF6" w:rsidRDefault="003C7CF6" w:rsidP="00CE39BC"/>
    <w:p w:rsidR="003C7CF6" w:rsidRDefault="003C7CF6"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670A59" w:rsidRDefault="00670A59" w:rsidP="00CE39BC"/>
    <w:p w:rsidR="003C7CF6" w:rsidRDefault="003C7CF6" w:rsidP="00CE39BC"/>
    <w:p w:rsidR="00243356" w:rsidRDefault="00243356" w:rsidP="00243356">
      <w:pPr>
        <w:pStyle w:val="NoSpacing"/>
      </w:pPr>
      <w:r>
        <w:lastRenderedPageBreak/>
        <w:t>Part II</w:t>
      </w:r>
    </w:p>
    <w:p w:rsidR="003C7CF6" w:rsidRDefault="003C7CF6" w:rsidP="00134AF3">
      <w:pPr>
        <w:pStyle w:val="NoSpacing"/>
      </w:pPr>
      <w:r>
        <w:t xml:space="preserve">1. Under the standard parametric </w:t>
      </w:r>
      <w:proofErr w:type="spellStart"/>
      <w:r>
        <w:t>VaR</w:t>
      </w:r>
      <w:proofErr w:type="spellEnd"/>
      <w:r>
        <w:t xml:space="preserve"> methodology, which of the following assumptions is true?</w:t>
      </w:r>
    </w:p>
    <w:p w:rsidR="003C7CF6" w:rsidRDefault="003C7CF6" w:rsidP="00134AF3">
      <w:pPr>
        <w:pStyle w:val="NoSpacing"/>
      </w:pPr>
      <w:r>
        <w:t>a) Returns follow a log normal distribution</w:t>
      </w:r>
    </w:p>
    <w:p w:rsidR="003C7CF6" w:rsidRDefault="003C7CF6" w:rsidP="00134AF3">
      <w:pPr>
        <w:pStyle w:val="NoSpacing"/>
      </w:pPr>
      <w:r>
        <w:t>b) Log returns follow a normal distribution</w:t>
      </w:r>
    </w:p>
    <w:p w:rsidR="003C7CF6" w:rsidRDefault="003C7CF6" w:rsidP="00134AF3">
      <w:pPr>
        <w:pStyle w:val="NoSpacing"/>
      </w:pPr>
      <w:r>
        <w:t xml:space="preserve">c) Mean log return is zero for daily </w:t>
      </w:r>
      <w:proofErr w:type="spellStart"/>
      <w:r>
        <w:t>VaR</w:t>
      </w:r>
      <w:proofErr w:type="spellEnd"/>
    </w:p>
    <w:p w:rsidR="003C7CF6" w:rsidRDefault="003C7CF6" w:rsidP="00134AF3">
      <w:pPr>
        <w:pStyle w:val="NoSpacing"/>
      </w:pPr>
      <w:r>
        <w:t>d) All of the above</w:t>
      </w:r>
    </w:p>
    <w:p w:rsidR="00134AF3" w:rsidRDefault="00134AF3" w:rsidP="00134AF3">
      <w:pPr>
        <w:pStyle w:val="NoSpacing"/>
      </w:pPr>
    </w:p>
    <w:p w:rsidR="003C7CF6" w:rsidRDefault="003C7CF6" w:rsidP="00134AF3">
      <w:pPr>
        <w:pStyle w:val="NoSpacing"/>
      </w:pPr>
      <w:r>
        <w:t xml:space="preserve">2. Under the </w:t>
      </w:r>
      <w:proofErr w:type="spellStart"/>
      <w:r>
        <w:t>RiskMetrics</w:t>
      </w:r>
      <w:proofErr w:type="spellEnd"/>
      <w:r>
        <w:t xml:space="preserve"> </w:t>
      </w:r>
      <w:proofErr w:type="spellStart"/>
      <w:r>
        <w:t>cashflow</w:t>
      </w:r>
      <w:proofErr w:type="spellEnd"/>
      <w:r>
        <w:t xml:space="preserve"> mapping method for interest rates, price volatility is required. The formula to convert yield volatility (expressed as a percentage of current </w:t>
      </w:r>
      <w:proofErr w:type="gramStart"/>
      <w:r>
        <w:t>yield</w:t>
      </w:r>
      <w:proofErr w:type="gramEnd"/>
      <w:r>
        <w:t>) to price volatility is:</w:t>
      </w:r>
    </w:p>
    <w:p w:rsidR="003C7CF6" w:rsidRDefault="003C7CF6" w:rsidP="00134AF3">
      <w:pPr>
        <w:pStyle w:val="NoSpacing"/>
      </w:pPr>
      <w:r>
        <w:t xml:space="preserve">a) Price </w:t>
      </w:r>
      <w:proofErr w:type="spellStart"/>
      <w:r>
        <w:t>Vol</w:t>
      </w:r>
      <w:proofErr w:type="spellEnd"/>
      <w:r>
        <w:t xml:space="preserve"> ( ) = Modified Duration (MD) x interest rate (Y) x Yield </w:t>
      </w:r>
      <w:proofErr w:type="spellStart"/>
      <w:r>
        <w:t>Vol</w:t>
      </w:r>
      <w:proofErr w:type="spellEnd"/>
      <w:r>
        <w:t xml:space="preserve"> (</w:t>
      </w:r>
      <w:proofErr w:type="spellStart"/>
      <w:r>
        <w:t>σy</w:t>
      </w:r>
      <w:proofErr w:type="spellEnd"/>
      <w:r>
        <w:t>)</w:t>
      </w:r>
    </w:p>
    <w:p w:rsidR="003C7CF6" w:rsidRDefault="003C7CF6" w:rsidP="00134AF3">
      <w:pPr>
        <w:pStyle w:val="NoSpacing"/>
      </w:pPr>
      <w:r>
        <w:t xml:space="preserve">b) Price </w:t>
      </w:r>
      <w:proofErr w:type="spellStart"/>
      <w:r>
        <w:t>Vol</w:t>
      </w:r>
      <w:proofErr w:type="spellEnd"/>
      <w:r>
        <w:t xml:space="preserve"> (</w:t>
      </w:r>
      <w:proofErr w:type="spellStart"/>
      <w:proofErr w:type="gramStart"/>
      <w:r>
        <w:t>σp</w:t>
      </w:r>
      <w:proofErr w:type="spellEnd"/>
      <w:r>
        <w:t xml:space="preserve"> )</w:t>
      </w:r>
      <w:proofErr w:type="gramEnd"/>
      <w:r>
        <w:t xml:space="preserve"> =</w:t>
      </w:r>
      <w:proofErr w:type="spellStart"/>
      <w:r>
        <w:t>MDx</w:t>
      </w:r>
      <w:proofErr w:type="spellEnd"/>
      <w:r w:rsidRPr="003C7CF6">
        <w:t xml:space="preserve"> </w:t>
      </w:r>
      <w:proofErr w:type="spellStart"/>
      <w:r w:rsidRPr="003C7CF6">
        <w:rPr>
          <w:u w:val="single"/>
        </w:rPr>
        <w:t>σy</w:t>
      </w:r>
      <w:proofErr w:type="spellEnd"/>
    </w:p>
    <w:p w:rsidR="003C7CF6" w:rsidRDefault="003C7CF6" w:rsidP="00134AF3">
      <w:pPr>
        <w:pStyle w:val="NoSpacing"/>
      </w:pPr>
      <w:r>
        <w:t xml:space="preserve">                                            Y</w:t>
      </w:r>
    </w:p>
    <w:p w:rsidR="003C7CF6" w:rsidRDefault="003C7CF6" w:rsidP="00134AF3">
      <w:pPr>
        <w:pStyle w:val="NoSpacing"/>
      </w:pPr>
      <w:r>
        <w:t xml:space="preserve">c) Price </w:t>
      </w:r>
      <w:proofErr w:type="spellStart"/>
      <w:r>
        <w:t>Vol</w:t>
      </w:r>
      <w:proofErr w:type="spellEnd"/>
      <w:r>
        <w:t xml:space="preserve"> (</w:t>
      </w:r>
      <w:proofErr w:type="spellStart"/>
      <w:proofErr w:type="gramStart"/>
      <w:r>
        <w:t>σp</w:t>
      </w:r>
      <w:proofErr w:type="spellEnd"/>
      <w:r>
        <w:t xml:space="preserve"> )</w:t>
      </w:r>
      <w:proofErr w:type="gramEnd"/>
      <w:r>
        <w:t xml:space="preserve"> =</w:t>
      </w:r>
      <w:proofErr w:type="spellStart"/>
      <w:r>
        <w:t>MDx</w:t>
      </w:r>
      <w:proofErr w:type="spellEnd"/>
      <w:r>
        <w:t xml:space="preserve"> </w:t>
      </w:r>
      <w:proofErr w:type="spellStart"/>
      <w:r>
        <w:t>σy</w:t>
      </w:r>
      <w:proofErr w:type="spellEnd"/>
    </w:p>
    <w:p w:rsidR="003C7CF6" w:rsidRPr="00FB4A29" w:rsidRDefault="003C7CF6" w:rsidP="00134AF3">
      <w:pPr>
        <w:pStyle w:val="NoSpacing"/>
        <w:rPr>
          <w:lang w:val="es-MX"/>
        </w:rPr>
      </w:pPr>
      <w:r w:rsidRPr="00FB4A29">
        <w:rPr>
          <w:lang w:val="es-MX"/>
        </w:rPr>
        <w:t xml:space="preserve">d) Price </w:t>
      </w:r>
      <w:proofErr w:type="spellStart"/>
      <w:r w:rsidRPr="00FB4A29">
        <w:rPr>
          <w:lang w:val="es-MX"/>
        </w:rPr>
        <w:t>Vol</w:t>
      </w:r>
      <w:proofErr w:type="spellEnd"/>
      <w:r w:rsidRPr="00FB4A29">
        <w:rPr>
          <w:lang w:val="es-MX"/>
        </w:rPr>
        <w:t xml:space="preserve"> (</w:t>
      </w:r>
      <w:proofErr w:type="gramStart"/>
      <w:r>
        <w:t>σ</w:t>
      </w:r>
      <w:r w:rsidRPr="00FB4A29">
        <w:rPr>
          <w:lang w:val="es-MX"/>
        </w:rPr>
        <w:t>p )</w:t>
      </w:r>
      <w:proofErr w:type="gramEnd"/>
      <w:r w:rsidRPr="00FB4A29">
        <w:rPr>
          <w:lang w:val="es-MX"/>
        </w:rPr>
        <w:t xml:space="preserve"> =</w:t>
      </w:r>
      <w:proofErr w:type="spellStart"/>
      <w:r w:rsidRPr="00FB4A29">
        <w:rPr>
          <w:lang w:val="es-MX"/>
        </w:rPr>
        <w:t>MDx</w:t>
      </w:r>
      <w:proofErr w:type="spellEnd"/>
      <w:r w:rsidRPr="00FB4A29">
        <w:rPr>
          <w:lang w:val="es-MX"/>
        </w:rPr>
        <w:t xml:space="preserve"> (1 + Y) x </w:t>
      </w:r>
      <w:proofErr w:type="spellStart"/>
      <w:r w:rsidRPr="00FB4A29">
        <w:rPr>
          <w:lang w:val="es-MX"/>
        </w:rPr>
        <w:t>qy</w:t>
      </w:r>
      <w:proofErr w:type="spellEnd"/>
    </w:p>
    <w:p w:rsidR="00134AF3" w:rsidRPr="00FB4A29" w:rsidRDefault="00134AF3" w:rsidP="00134AF3">
      <w:pPr>
        <w:pStyle w:val="NoSpacing"/>
        <w:rPr>
          <w:lang w:val="es-MX"/>
        </w:rPr>
      </w:pPr>
    </w:p>
    <w:p w:rsidR="003C7CF6" w:rsidRDefault="003C7CF6" w:rsidP="00134AF3">
      <w:pPr>
        <w:pStyle w:val="NoSpacing"/>
      </w:pPr>
      <w:r>
        <w:t>3. For EWMA (Exponentially Weighted Moving Average), using a decay factor of 0.94 and a tolerance level of 1% (i.e. excluding exponential weights below 1%), the effective number of data points used to estimate the covariance matrix is:</w:t>
      </w:r>
    </w:p>
    <w:p w:rsidR="003C7CF6" w:rsidRDefault="003C7CF6" w:rsidP="00134AF3">
      <w:pPr>
        <w:pStyle w:val="NoSpacing"/>
      </w:pPr>
      <w:r>
        <w:t>a) 74</w:t>
      </w:r>
    </w:p>
    <w:p w:rsidR="003C7CF6" w:rsidRDefault="003C7CF6" w:rsidP="00134AF3">
      <w:pPr>
        <w:pStyle w:val="NoSpacing"/>
      </w:pPr>
      <w:r>
        <w:t>b) 150</w:t>
      </w:r>
    </w:p>
    <w:p w:rsidR="003C7CF6" w:rsidRDefault="003C7CF6" w:rsidP="00134AF3">
      <w:pPr>
        <w:pStyle w:val="NoSpacing"/>
      </w:pPr>
      <w:r>
        <w:t>c) 100</w:t>
      </w:r>
    </w:p>
    <w:p w:rsidR="003C7CF6" w:rsidRDefault="003C7CF6" w:rsidP="00134AF3">
      <w:pPr>
        <w:pStyle w:val="NoSpacing"/>
      </w:pPr>
      <w:r>
        <w:t>d) 250</w:t>
      </w:r>
    </w:p>
    <w:p w:rsidR="00134AF3" w:rsidRDefault="00134AF3" w:rsidP="00134AF3">
      <w:pPr>
        <w:pStyle w:val="NoSpacing"/>
      </w:pPr>
    </w:p>
    <w:p w:rsidR="003C7CF6" w:rsidRDefault="003C7CF6" w:rsidP="00134AF3">
      <w:pPr>
        <w:pStyle w:val="NoSpacing"/>
      </w:pPr>
      <w:r>
        <w:t>4. The portfolio has one risky bond from company A. Company A is a subsidiary of XYZ and if XYZ defaults Company A does so too. The probability of default of XYZ is 0.3 and the probability of company A going into bankruptcy without XYZ defaulting is 0.5. What is the probability of having a default on the risky bond?</w:t>
      </w:r>
    </w:p>
    <w:p w:rsidR="003C7CF6" w:rsidRDefault="003C7CF6" w:rsidP="00134AF3">
      <w:pPr>
        <w:pStyle w:val="NoSpacing"/>
      </w:pPr>
      <w:r>
        <w:t>a) Cannot be determined</w:t>
      </w:r>
    </w:p>
    <w:p w:rsidR="003C7CF6" w:rsidRDefault="003C7CF6" w:rsidP="00134AF3">
      <w:pPr>
        <w:pStyle w:val="NoSpacing"/>
      </w:pPr>
      <w:r>
        <w:t>b) 0.60</w:t>
      </w:r>
    </w:p>
    <w:p w:rsidR="003C7CF6" w:rsidRDefault="003C7CF6" w:rsidP="00134AF3">
      <w:pPr>
        <w:pStyle w:val="NoSpacing"/>
      </w:pPr>
      <w:r>
        <w:t>c) 0.70</w:t>
      </w:r>
    </w:p>
    <w:p w:rsidR="003C7CF6" w:rsidRDefault="003C7CF6" w:rsidP="00134AF3">
      <w:pPr>
        <w:pStyle w:val="NoSpacing"/>
      </w:pPr>
      <w:r>
        <w:t>d) None of the above</w:t>
      </w:r>
    </w:p>
    <w:p w:rsidR="003C7CF6" w:rsidRDefault="003C7CF6" w:rsidP="00134AF3">
      <w:pPr>
        <w:pStyle w:val="NoSpacing"/>
      </w:pPr>
    </w:p>
    <w:p w:rsidR="003C7CF6" w:rsidRDefault="003C7CF6" w:rsidP="00134AF3">
      <w:pPr>
        <w:pStyle w:val="NoSpacing"/>
      </w:pPr>
      <w:r>
        <w:t>5. Assuming independence and a recovery rate of 70%, what is the expected loss on the following portfolio?</w:t>
      </w:r>
    </w:p>
    <w:tbl>
      <w:tblPr>
        <w:tblStyle w:val="TableGrid"/>
        <w:tblW w:w="0" w:type="auto"/>
        <w:tblLook w:val="04A0"/>
      </w:tblPr>
      <w:tblGrid>
        <w:gridCol w:w="3192"/>
        <w:gridCol w:w="3192"/>
        <w:gridCol w:w="3192"/>
      </w:tblGrid>
      <w:tr w:rsidR="003C7CF6" w:rsidTr="003C7CF6">
        <w:tc>
          <w:tcPr>
            <w:tcW w:w="3192" w:type="dxa"/>
          </w:tcPr>
          <w:p w:rsidR="003C7CF6" w:rsidRDefault="003C7CF6" w:rsidP="00134AF3">
            <w:pPr>
              <w:pStyle w:val="NoSpacing"/>
            </w:pPr>
          </w:p>
        </w:tc>
        <w:tc>
          <w:tcPr>
            <w:tcW w:w="3192" w:type="dxa"/>
          </w:tcPr>
          <w:p w:rsidR="003C7CF6" w:rsidRDefault="003C7CF6" w:rsidP="00134AF3">
            <w:pPr>
              <w:pStyle w:val="NoSpacing"/>
            </w:pPr>
            <w:r>
              <w:t>Face Value of Bond</w:t>
            </w:r>
          </w:p>
        </w:tc>
        <w:tc>
          <w:tcPr>
            <w:tcW w:w="3192" w:type="dxa"/>
          </w:tcPr>
          <w:p w:rsidR="003C7CF6" w:rsidRDefault="003C7CF6" w:rsidP="00134AF3">
            <w:pPr>
              <w:pStyle w:val="NoSpacing"/>
            </w:pPr>
            <w:r>
              <w:t>Probability of Default</w:t>
            </w:r>
          </w:p>
        </w:tc>
      </w:tr>
      <w:tr w:rsidR="003C7CF6" w:rsidTr="003C7CF6">
        <w:tc>
          <w:tcPr>
            <w:tcW w:w="3192" w:type="dxa"/>
          </w:tcPr>
          <w:p w:rsidR="003C7CF6" w:rsidRDefault="003C7CF6" w:rsidP="00134AF3">
            <w:pPr>
              <w:pStyle w:val="NoSpacing"/>
            </w:pPr>
            <w:r>
              <w:t>Bond A</w:t>
            </w:r>
          </w:p>
        </w:tc>
        <w:tc>
          <w:tcPr>
            <w:tcW w:w="3192" w:type="dxa"/>
          </w:tcPr>
          <w:p w:rsidR="003C7CF6" w:rsidRDefault="003C7CF6" w:rsidP="00134AF3">
            <w:pPr>
              <w:pStyle w:val="NoSpacing"/>
            </w:pPr>
            <w:r>
              <w:t>1,000 Euros (EUR)</w:t>
            </w:r>
          </w:p>
        </w:tc>
        <w:tc>
          <w:tcPr>
            <w:tcW w:w="3192" w:type="dxa"/>
          </w:tcPr>
          <w:p w:rsidR="003C7CF6" w:rsidRDefault="003C7CF6" w:rsidP="00134AF3">
            <w:pPr>
              <w:pStyle w:val="NoSpacing"/>
            </w:pPr>
            <w:r>
              <w:t>0.4</w:t>
            </w:r>
          </w:p>
        </w:tc>
      </w:tr>
      <w:tr w:rsidR="003C7CF6" w:rsidTr="003C7CF6">
        <w:tc>
          <w:tcPr>
            <w:tcW w:w="3192" w:type="dxa"/>
          </w:tcPr>
          <w:p w:rsidR="003C7CF6" w:rsidRDefault="003C7CF6" w:rsidP="00134AF3">
            <w:pPr>
              <w:pStyle w:val="NoSpacing"/>
            </w:pPr>
            <w:r>
              <w:t>Bond B</w:t>
            </w:r>
          </w:p>
        </w:tc>
        <w:tc>
          <w:tcPr>
            <w:tcW w:w="3192" w:type="dxa"/>
          </w:tcPr>
          <w:p w:rsidR="003C7CF6" w:rsidRDefault="003C7CF6" w:rsidP="00134AF3">
            <w:pPr>
              <w:pStyle w:val="NoSpacing"/>
            </w:pPr>
            <w:r>
              <w:t>2,000 EUR</w:t>
            </w:r>
          </w:p>
        </w:tc>
        <w:tc>
          <w:tcPr>
            <w:tcW w:w="3192" w:type="dxa"/>
          </w:tcPr>
          <w:p w:rsidR="003C7CF6" w:rsidRDefault="003C7CF6" w:rsidP="00134AF3">
            <w:pPr>
              <w:pStyle w:val="NoSpacing"/>
            </w:pPr>
            <w:r>
              <w:t>0.3</w:t>
            </w:r>
          </w:p>
        </w:tc>
      </w:tr>
    </w:tbl>
    <w:p w:rsidR="003C7CF6" w:rsidRDefault="003C7CF6" w:rsidP="00134AF3">
      <w:pPr>
        <w:pStyle w:val="NoSpacing"/>
      </w:pPr>
    </w:p>
    <w:p w:rsidR="003C7CF6" w:rsidRDefault="003C7CF6" w:rsidP="00134AF3">
      <w:pPr>
        <w:pStyle w:val="NoSpacing"/>
      </w:pPr>
      <w:r>
        <w:t>a) 300 EUR</w:t>
      </w:r>
    </w:p>
    <w:p w:rsidR="003C7CF6" w:rsidRDefault="003C7CF6" w:rsidP="00134AF3">
      <w:pPr>
        <w:pStyle w:val="NoSpacing"/>
      </w:pPr>
      <w:r>
        <w:t>b) 900 EUR</w:t>
      </w:r>
    </w:p>
    <w:p w:rsidR="003C7CF6" w:rsidRDefault="003C7CF6" w:rsidP="00134AF3">
      <w:pPr>
        <w:pStyle w:val="NoSpacing"/>
      </w:pPr>
      <w:r>
        <w:t>c) 1,000 EUR</w:t>
      </w:r>
    </w:p>
    <w:p w:rsidR="003C7CF6" w:rsidRDefault="003C7CF6" w:rsidP="00134AF3">
      <w:pPr>
        <w:pStyle w:val="NoSpacing"/>
      </w:pPr>
      <w:r>
        <w:t>d) None of the above</w:t>
      </w:r>
    </w:p>
    <w:p w:rsidR="00134AF3" w:rsidRDefault="00134AF3" w:rsidP="00134AF3">
      <w:pPr>
        <w:pStyle w:val="NoSpacing"/>
      </w:pPr>
    </w:p>
    <w:p w:rsidR="003C7CF6" w:rsidRDefault="003C7CF6" w:rsidP="00134AF3">
      <w:pPr>
        <w:pStyle w:val="NoSpacing"/>
      </w:pPr>
      <w:r>
        <w:t xml:space="preserve">6. How is the loss given default incorporated in the </w:t>
      </w:r>
      <w:proofErr w:type="spellStart"/>
      <w:r>
        <w:t>CreditMetrics</w:t>
      </w:r>
      <w:proofErr w:type="spellEnd"/>
      <w:r>
        <w:t xml:space="preserve"> Technical Document?</w:t>
      </w:r>
    </w:p>
    <w:p w:rsidR="003C7CF6" w:rsidRDefault="003C7CF6" w:rsidP="00134AF3">
      <w:pPr>
        <w:pStyle w:val="NoSpacing"/>
      </w:pPr>
      <w:r>
        <w:t>a) The document does not consider it</w:t>
      </w:r>
    </w:p>
    <w:p w:rsidR="003C7CF6" w:rsidRDefault="003C7CF6" w:rsidP="00134AF3">
      <w:pPr>
        <w:pStyle w:val="NoSpacing"/>
      </w:pPr>
      <w:r>
        <w:t>b) By a parameterized distribution</w:t>
      </w:r>
    </w:p>
    <w:p w:rsidR="003C7CF6" w:rsidRDefault="003C7CF6" w:rsidP="00134AF3">
      <w:pPr>
        <w:pStyle w:val="NoSpacing"/>
      </w:pPr>
      <w:r>
        <w:t>c) By a look up table</w:t>
      </w:r>
    </w:p>
    <w:p w:rsidR="003C7CF6" w:rsidRDefault="003C7CF6" w:rsidP="00134AF3">
      <w:pPr>
        <w:pStyle w:val="NoSpacing"/>
      </w:pPr>
      <w:r>
        <w:t>d) By a constant</w:t>
      </w:r>
    </w:p>
    <w:p w:rsidR="003C7CF6" w:rsidRDefault="003C7CF6" w:rsidP="00134AF3">
      <w:pPr>
        <w:pStyle w:val="NoSpacing"/>
      </w:pPr>
      <w:r>
        <w:lastRenderedPageBreak/>
        <w:t>7. What is characteristic of a default mode credit risk model?</w:t>
      </w:r>
    </w:p>
    <w:p w:rsidR="003C7CF6" w:rsidRDefault="003C7CF6" w:rsidP="00134AF3">
      <w:pPr>
        <w:pStyle w:val="NoSpacing"/>
      </w:pPr>
      <w:r>
        <w:t>a) A model which considers two states of nature</w:t>
      </w:r>
    </w:p>
    <w:p w:rsidR="003C7CF6" w:rsidRDefault="003C7CF6" w:rsidP="00134AF3">
      <w:pPr>
        <w:pStyle w:val="NoSpacing"/>
      </w:pPr>
      <w:r>
        <w:t>b) A model which incorporates a default definition</w:t>
      </w:r>
    </w:p>
    <w:p w:rsidR="00A71A77" w:rsidRDefault="003C7CF6" w:rsidP="00134AF3">
      <w:pPr>
        <w:pStyle w:val="NoSpacing"/>
      </w:pPr>
      <w:r>
        <w:t>c) A model which considers default as a reflecting state</w:t>
      </w:r>
    </w:p>
    <w:p w:rsidR="003C7CF6" w:rsidRDefault="003C7CF6" w:rsidP="00134AF3">
      <w:pPr>
        <w:pStyle w:val="NoSpacing"/>
      </w:pPr>
      <w:r>
        <w:t>d) None of the above</w:t>
      </w:r>
    </w:p>
    <w:p w:rsidR="00134AF3" w:rsidRDefault="00134AF3" w:rsidP="00134AF3">
      <w:pPr>
        <w:pStyle w:val="NoSpacing"/>
      </w:pPr>
    </w:p>
    <w:p w:rsidR="003C7CF6" w:rsidRDefault="003C7CF6" w:rsidP="00134AF3">
      <w:pPr>
        <w:pStyle w:val="NoSpacing"/>
        <w:rPr>
          <w:rFonts w:ascii="ScalaSans-Regular" w:hAnsi="ScalaSans-Regular" w:cs="ScalaSans-Regular"/>
          <w:sz w:val="20"/>
          <w:szCs w:val="20"/>
        </w:rPr>
      </w:pPr>
      <w:r>
        <w:t xml:space="preserve">8. </w:t>
      </w:r>
      <w:r>
        <w:rPr>
          <w:rFonts w:ascii="ScalaSans-Regular" w:hAnsi="ScalaSans-Regular" w:cs="ScalaSans-Regular"/>
          <w:sz w:val="20"/>
          <w:szCs w:val="20"/>
        </w:rPr>
        <w:t xml:space="preserve">What </w:t>
      </w:r>
      <w:proofErr w:type="gramStart"/>
      <w:r>
        <w:rPr>
          <w:rFonts w:ascii="ScalaSans-Regular" w:hAnsi="ScalaSans-Regular" w:cs="ScalaSans-Regular"/>
          <w:sz w:val="20"/>
          <w:szCs w:val="20"/>
        </w:rPr>
        <w:t>is</w:t>
      </w:r>
      <w:proofErr w:type="gramEnd"/>
      <w:r>
        <w:rPr>
          <w:rFonts w:ascii="ScalaSans-Regular" w:hAnsi="ScalaSans-Regular" w:cs="ScalaSans-Regular"/>
          <w:sz w:val="20"/>
          <w:szCs w:val="20"/>
        </w:rPr>
        <w:t xml:space="preserve"> the one-year transition matrix assuming only two categories [i.e. default (d) and non-default (</w:t>
      </w:r>
      <w:proofErr w:type="spellStart"/>
      <w:r>
        <w:rPr>
          <w:rFonts w:ascii="ScalaSans-Regular" w:hAnsi="ScalaSans-Regular" w:cs="ScalaSans-Regular"/>
          <w:sz w:val="20"/>
          <w:szCs w:val="20"/>
        </w:rPr>
        <w:t>nd</w:t>
      </w:r>
      <w:proofErr w:type="spellEnd"/>
      <w:r>
        <w:rPr>
          <w:rFonts w:ascii="ScalaSans-Regular" w:hAnsi="ScalaSans-Regular" w:cs="ScalaSans-Regular"/>
          <w:sz w:val="20"/>
          <w:szCs w:val="20"/>
        </w:rPr>
        <w:t>)]</w:t>
      </w:r>
      <w:r w:rsidR="00134AF3">
        <w:rPr>
          <w:rFonts w:ascii="ScalaSans-Regular" w:hAnsi="ScalaSans-Regular" w:cs="ScalaSans-Regular"/>
          <w:sz w:val="20"/>
          <w:szCs w:val="20"/>
        </w:rPr>
        <w:t xml:space="preserve"> </w:t>
      </w:r>
      <w:r>
        <w:rPr>
          <w:rFonts w:ascii="ScalaSans-Regular" w:hAnsi="ScalaSans-Regular" w:cs="ScalaSans-Regular"/>
          <w:sz w:val="20"/>
          <w:szCs w:val="20"/>
        </w:rPr>
        <w:t>from a portfolio with 300 loans and the following payment history?</w:t>
      </w:r>
    </w:p>
    <w:p w:rsidR="00134AF3" w:rsidRDefault="00134AF3" w:rsidP="00134AF3">
      <w:pPr>
        <w:pStyle w:val="NoSpacing"/>
        <w:rPr>
          <w:rFonts w:ascii="ScalaSans-Regular" w:hAnsi="ScalaSans-Regular" w:cs="ScalaSans-Regular"/>
          <w:sz w:val="20"/>
          <w:szCs w:val="20"/>
        </w:rPr>
      </w:pPr>
    </w:p>
    <w:p w:rsidR="00134AF3" w:rsidRDefault="00134AF3" w:rsidP="00134AF3">
      <w:pPr>
        <w:pStyle w:val="NoSpacing"/>
        <w:rPr>
          <w:rFonts w:ascii="ScalaSans-Regular" w:hAnsi="ScalaSans-Regular" w:cs="ScalaSans-Regular"/>
          <w:sz w:val="20"/>
          <w:szCs w:val="20"/>
        </w:rPr>
      </w:pPr>
    </w:p>
    <w:tbl>
      <w:tblPr>
        <w:tblStyle w:val="TableGrid"/>
        <w:tblpPr w:leftFromText="180" w:rightFromText="180" w:vertAnchor="text" w:horzAnchor="margin" w:tblpXSpec="right" w:tblpY="49"/>
        <w:tblW w:w="0" w:type="auto"/>
        <w:tblLook w:val="04A0"/>
      </w:tblPr>
      <w:tblGrid>
        <w:gridCol w:w="631"/>
        <w:gridCol w:w="631"/>
      </w:tblGrid>
      <w:tr w:rsidR="00134AF3" w:rsidTr="00134AF3">
        <w:trPr>
          <w:trHeight w:val="254"/>
        </w:trPr>
        <w:tc>
          <w:tcPr>
            <w:tcW w:w="631" w:type="dxa"/>
          </w:tcPr>
          <w:p w:rsidR="00134AF3" w:rsidRDefault="00134AF3" w:rsidP="00134AF3">
            <w:pPr>
              <w:pStyle w:val="NoSpacing"/>
            </w:pPr>
            <w:r>
              <w:t>Nov</w:t>
            </w:r>
          </w:p>
        </w:tc>
        <w:tc>
          <w:tcPr>
            <w:tcW w:w="631" w:type="dxa"/>
          </w:tcPr>
          <w:p w:rsidR="00134AF3" w:rsidRDefault="00134AF3" w:rsidP="00134AF3">
            <w:pPr>
              <w:pStyle w:val="NoSpacing"/>
            </w:pPr>
            <w:r>
              <w:t>Dec</w:t>
            </w:r>
          </w:p>
        </w:tc>
      </w:tr>
      <w:tr w:rsidR="00134AF3" w:rsidTr="00134AF3">
        <w:trPr>
          <w:trHeight w:val="254"/>
        </w:trPr>
        <w:tc>
          <w:tcPr>
            <w:tcW w:w="631" w:type="dxa"/>
          </w:tcPr>
          <w:p w:rsidR="00134AF3" w:rsidRDefault="00134AF3" w:rsidP="00134AF3">
            <w:pPr>
              <w:pStyle w:val="NoSpacing"/>
            </w:pPr>
            <w:r>
              <w:t>6</w:t>
            </w:r>
          </w:p>
        </w:tc>
        <w:tc>
          <w:tcPr>
            <w:tcW w:w="631" w:type="dxa"/>
          </w:tcPr>
          <w:p w:rsidR="00134AF3" w:rsidRDefault="00134AF3" w:rsidP="00134AF3">
            <w:pPr>
              <w:pStyle w:val="NoSpacing"/>
            </w:pPr>
            <w:r>
              <w:t>3</w:t>
            </w:r>
          </w:p>
        </w:tc>
      </w:tr>
    </w:tbl>
    <w:p w:rsidR="00134AF3" w:rsidRDefault="00134AF3" w:rsidP="00134AF3">
      <w:pPr>
        <w:pStyle w:val="NoSpacing"/>
        <w:rPr>
          <w:rFonts w:ascii="ScalaSans-Regular" w:hAnsi="ScalaSans-Regular" w:cs="ScalaSans-Regular"/>
          <w:sz w:val="20"/>
          <w:szCs w:val="20"/>
        </w:rPr>
      </w:pPr>
      <w:r>
        <w:rPr>
          <w:rFonts w:ascii="ScalaSans-Regular" w:hAnsi="ScalaSans-Regular" w:cs="ScalaSans-Regular"/>
          <w:sz w:val="20"/>
          <w:szCs w:val="20"/>
        </w:rPr>
        <w:t xml:space="preserve">Number of loans that transited from </w:t>
      </w:r>
      <w:r w:rsidR="00162A71">
        <w:rPr>
          <w:rFonts w:ascii="ScalaSans-Regular" w:hAnsi="ScalaSans-Regular" w:cs="ScalaSans-Regular"/>
          <w:sz w:val="20"/>
          <w:szCs w:val="20"/>
        </w:rPr>
        <w:t>non-default</w:t>
      </w:r>
      <w:r>
        <w:rPr>
          <w:rFonts w:ascii="ScalaSans-Regular" w:hAnsi="ScalaSans-Regular" w:cs="ScalaSans-Regular"/>
          <w:sz w:val="20"/>
          <w:szCs w:val="20"/>
        </w:rPr>
        <w:t xml:space="preserve"> to default in 2000</w:t>
      </w:r>
    </w:p>
    <w:tbl>
      <w:tblPr>
        <w:tblStyle w:val="TableGrid"/>
        <w:tblW w:w="0" w:type="auto"/>
        <w:tblLook w:val="04A0"/>
      </w:tblPr>
      <w:tblGrid>
        <w:gridCol w:w="822"/>
        <w:gridCol w:w="822"/>
        <w:gridCol w:w="822"/>
        <w:gridCol w:w="822"/>
        <w:gridCol w:w="823"/>
        <w:gridCol w:w="823"/>
        <w:gridCol w:w="823"/>
        <w:gridCol w:w="823"/>
        <w:gridCol w:w="823"/>
        <w:gridCol w:w="823"/>
      </w:tblGrid>
      <w:tr w:rsidR="00134AF3" w:rsidTr="00134AF3">
        <w:trPr>
          <w:trHeight w:val="248"/>
        </w:trPr>
        <w:tc>
          <w:tcPr>
            <w:tcW w:w="822" w:type="dxa"/>
          </w:tcPr>
          <w:p w:rsidR="00134AF3" w:rsidRDefault="00134AF3" w:rsidP="00134AF3">
            <w:pPr>
              <w:pStyle w:val="NoSpacing"/>
            </w:pPr>
            <w:r>
              <w:t>Jan</w:t>
            </w:r>
          </w:p>
        </w:tc>
        <w:tc>
          <w:tcPr>
            <w:tcW w:w="822" w:type="dxa"/>
          </w:tcPr>
          <w:p w:rsidR="00134AF3" w:rsidRDefault="00134AF3" w:rsidP="00134AF3">
            <w:pPr>
              <w:pStyle w:val="NoSpacing"/>
            </w:pPr>
            <w:r>
              <w:t>Feb</w:t>
            </w:r>
          </w:p>
        </w:tc>
        <w:tc>
          <w:tcPr>
            <w:tcW w:w="822" w:type="dxa"/>
          </w:tcPr>
          <w:p w:rsidR="00134AF3" w:rsidRDefault="00134AF3" w:rsidP="00134AF3">
            <w:pPr>
              <w:pStyle w:val="NoSpacing"/>
            </w:pPr>
            <w:r>
              <w:t>Mar</w:t>
            </w:r>
          </w:p>
        </w:tc>
        <w:tc>
          <w:tcPr>
            <w:tcW w:w="822" w:type="dxa"/>
          </w:tcPr>
          <w:p w:rsidR="00134AF3" w:rsidRDefault="00134AF3" w:rsidP="00134AF3">
            <w:pPr>
              <w:pStyle w:val="NoSpacing"/>
            </w:pPr>
            <w:r>
              <w:t>Apr</w:t>
            </w:r>
          </w:p>
        </w:tc>
        <w:tc>
          <w:tcPr>
            <w:tcW w:w="823" w:type="dxa"/>
          </w:tcPr>
          <w:p w:rsidR="00134AF3" w:rsidRDefault="00134AF3" w:rsidP="00134AF3">
            <w:pPr>
              <w:pStyle w:val="NoSpacing"/>
            </w:pPr>
            <w:r>
              <w:t>May</w:t>
            </w:r>
          </w:p>
        </w:tc>
        <w:tc>
          <w:tcPr>
            <w:tcW w:w="823" w:type="dxa"/>
          </w:tcPr>
          <w:p w:rsidR="00134AF3" w:rsidRDefault="00134AF3" w:rsidP="00134AF3">
            <w:pPr>
              <w:pStyle w:val="NoSpacing"/>
            </w:pPr>
            <w:r>
              <w:t>Jun</w:t>
            </w:r>
          </w:p>
        </w:tc>
        <w:tc>
          <w:tcPr>
            <w:tcW w:w="823" w:type="dxa"/>
          </w:tcPr>
          <w:p w:rsidR="00134AF3" w:rsidRDefault="00134AF3" w:rsidP="00134AF3">
            <w:pPr>
              <w:pStyle w:val="NoSpacing"/>
            </w:pPr>
            <w:r>
              <w:t>Jul</w:t>
            </w:r>
          </w:p>
        </w:tc>
        <w:tc>
          <w:tcPr>
            <w:tcW w:w="823" w:type="dxa"/>
          </w:tcPr>
          <w:p w:rsidR="00134AF3" w:rsidRDefault="00134AF3" w:rsidP="00134AF3">
            <w:pPr>
              <w:pStyle w:val="NoSpacing"/>
            </w:pPr>
            <w:r>
              <w:t>Aug</w:t>
            </w:r>
          </w:p>
        </w:tc>
        <w:tc>
          <w:tcPr>
            <w:tcW w:w="823" w:type="dxa"/>
          </w:tcPr>
          <w:p w:rsidR="00134AF3" w:rsidRDefault="00134AF3" w:rsidP="00134AF3">
            <w:pPr>
              <w:pStyle w:val="NoSpacing"/>
            </w:pPr>
            <w:r>
              <w:t>Sept</w:t>
            </w:r>
          </w:p>
        </w:tc>
        <w:tc>
          <w:tcPr>
            <w:tcW w:w="823" w:type="dxa"/>
          </w:tcPr>
          <w:p w:rsidR="00134AF3" w:rsidRDefault="00134AF3" w:rsidP="00134AF3">
            <w:pPr>
              <w:pStyle w:val="NoSpacing"/>
            </w:pPr>
            <w:r>
              <w:t>Oct</w:t>
            </w:r>
          </w:p>
        </w:tc>
      </w:tr>
      <w:tr w:rsidR="00134AF3" w:rsidTr="00134AF3">
        <w:trPr>
          <w:trHeight w:val="263"/>
        </w:trPr>
        <w:tc>
          <w:tcPr>
            <w:tcW w:w="822" w:type="dxa"/>
          </w:tcPr>
          <w:p w:rsidR="00134AF3" w:rsidRDefault="00134AF3" w:rsidP="00134AF3">
            <w:pPr>
              <w:pStyle w:val="NoSpacing"/>
            </w:pPr>
            <w:r>
              <w:t>0</w:t>
            </w:r>
          </w:p>
        </w:tc>
        <w:tc>
          <w:tcPr>
            <w:tcW w:w="822" w:type="dxa"/>
          </w:tcPr>
          <w:p w:rsidR="00134AF3" w:rsidRDefault="00134AF3" w:rsidP="00134AF3">
            <w:pPr>
              <w:pStyle w:val="NoSpacing"/>
            </w:pPr>
            <w:r>
              <w:t>9</w:t>
            </w:r>
          </w:p>
        </w:tc>
        <w:tc>
          <w:tcPr>
            <w:tcW w:w="822" w:type="dxa"/>
          </w:tcPr>
          <w:p w:rsidR="00134AF3" w:rsidRDefault="00134AF3" w:rsidP="00134AF3">
            <w:pPr>
              <w:pStyle w:val="NoSpacing"/>
            </w:pPr>
            <w:r>
              <w:t>0</w:t>
            </w:r>
          </w:p>
        </w:tc>
        <w:tc>
          <w:tcPr>
            <w:tcW w:w="822" w:type="dxa"/>
          </w:tcPr>
          <w:p w:rsidR="00134AF3" w:rsidRDefault="00134AF3" w:rsidP="00134AF3">
            <w:pPr>
              <w:pStyle w:val="NoSpacing"/>
            </w:pPr>
            <w:r>
              <w:t>0</w:t>
            </w:r>
          </w:p>
        </w:tc>
        <w:tc>
          <w:tcPr>
            <w:tcW w:w="823" w:type="dxa"/>
          </w:tcPr>
          <w:p w:rsidR="00134AF3" w:rsidRDefault="00134AF3" w:rsidP="00134AF3">
            <w:pPr>
              <w:pStyle w:val="NoSpacing"/>
            </w:pPr>
            <w:r>
              <w:t>0</w:t>
            </w:r>
          </w:p>
        </w:tc>
        <w:tc>
          <w:tcPr>
            <w:tcW w:w="823" w:type="dxa"/>
          </w:tcPr>
          <w:p w:rsidR="00134AF3" w:rsidRDefault="00134AF3" w:rsidP="00134AF3">
            <w:pPr>
              <w:pStyle w:val="NoSpacing"/>
            </w:pPr>
            <w:r>
              <w:t>6</w:t>
            </w:r>
          </w:p>
        </w:tc>
        <w:tc>
          <w:tcPr>
            <w:tcW w:w="823" w:type="dxa"/>
          </w:tcPr>
          <w:p w:rsidR="00134AF3" w:rsidRDefault="00134AF3" w:rsidP="00134AF3">
            <w:pPr>
              <w:pStyle w:val="NoSpacing"/>
            </w:pPr>
            <w:r>
              <w:t>0</w:t>
            </w:r>
          </w:p>
        </w:tc>
        <w:tc>
          <w:tcPr>
            <w:tcW w:w="823" w:type="dxa"/>
          </w:tcPr>
          <w:p w:rsidR="00134AF3" w:rsidRDefault="00134AF3" w:rsidP="00134AF3">
            <w:pPr>
              <w:pStyle w:val="NoSpacing"/>
            </w:pPr>
            <w:r>
              <w:t>3</w:t>
            </w:r>
          </w:p>
        </w:tc>
        <w:tc>
          <w:tcPr>
            <w:tcW w:w="823" w:type="dxa"/>
          </w:tcPr>
          <w:p w:rsidR="00134AF3" w:rsidRDefault="00134AF3" w:rsidP="00134AF3">
            <w:pPr>
              <w:pStyle w:val="NoSpacing"/>
            </w:pPr>
            <w:r>
              <w:t>3</w:t>
            </w:r>
          </w:p>
        </w:tc>
        <w:tc>
          <w:tcPr>
            <w:tcW w:w="823" w:type="dxa"/>
          </w:tcPr>
          <w:p w:rsidR="00134AF3" w:rsidRDefault="00134AF3" w:rsidP="00134AF3">
            <w:pPr>
              <w:pStyle w:val="NoSpacing"/>
            </w:pPr>
            <w:r>
              <w:t>0</w:t>
            </w:r>
          </w:p>
        </w:tc>
      </w:tr>
    </w:tbl>
    <w:p w:rsidR="00134AF3" w:rsidRDefault="00134AF3" w:rsidP="00134AF3">
      <w:pPr>
        <w:pStyle w:val="NoSpacing"/>
      </w:pPr>
    </w:p>
    <w:tbl>
      <w:tblPr>
        <w:tblStyle w:val="TableGrid"/>
        <w:tblpPr w:leftFromText="180" w:rightFromText="180" w:vertAnchor="text" w:horzAnchor="page" w:tblpX="3493" w:tblpY="146"/>
        <w:tblW w:w="0" w:type="auto"/>
        <w:tblLook w:val="04A0"/>
      </w:tblPr>
      <w:tblGrid>
        <w:gridCol w:w="498"/>
        <w:gridCol w:w="498"/>
      </w:tblGrid>
      <w:tr w:rsidR="00134AF3" w:rsidTr="00134AF3">
        <w:trPr>
          <w:trHeight w:val="276"/>
        </w:trPr>
        <w:tc>
          <w:tcPr>
            <w:tcW w:w="498" w:type="dxa"/>
          </w:tcPr>
          <w:p w:rsidR="00134AF3" w:rsidRDefault="00134AF3" w:rsidP="00134AF3">
            <w:pPr>
              <w:pStyle w:val="NoSpacing"/>
            </w:pPr>
            <w:r>
              <w:t>0.9</w:t>
            </w:r>
          </w:p>
        </w:tc>
        <w:tc>
          <w:tcPr>
            <w:tcW w:w="498" w:type="dxa"/>
          </w:tcPr>
          <w:p w:rsidR="00134AF3" w:rsidRDefault="00134AF3" w:rsidP="00134AF3">
            <w:pPr>
              <w:pStyle w:val="NoSpacing"/>
            </w:pPr>
            <w:r>
              <w:t>0.1</w:t>
            </w:r>
          </w:p>
        </w:tc>
      </w:tr>
      <w:tr w:rsidR="00134AF3" w:rsidTr="00134AF3">
        <w:trPr>
          <w:trHeight w:val="276"/>
        </w:trPr>
        <w:tc>
          <w:tcPr>
            <w:tcW w:w="498" w:type="dxa"/>
          </w:tcPr>
          <w:p w:rsidR="00134AF3" w:rsidRDefault="00134AF3" w:rsidP="00134AF3">
            <w:pPr>
              <w:pStyle w:val="NoSpacing"/>
            </w:pPr>
            <w:r>
              <w:t>0</w:t>
            </w:r>
          </w:p>
        </w:tc>
        <w:tc>
          <w:tcPr>
            <w:tcW w:w="498" w:type="dxa"/>
          </w:tcPr>
          <w:p w:rsidR="00134AF3" w:rsidRDefault="00134AF3" w:rsidP="00134AF3">
            <w:pPr>
              <w:pStyle w:val="NoSpacing"/>
            </w:pPr>
            <w:r>
              <w:t>1</w:t>
            </w:r>
          </w:p>
        </w:tc>
      </w:tr>
    </w:tbl>
    <w:p w:rsidR="00134AF3" w:rsidRDefault="00134AF3" w:rsidP="00134AF3">
      <w:pPr>
        <w:pStyle w:val="NoSpacing"/>
      </w:pPr>
      <w:r>
        <w:t xml:space="preserve">a)                          </w:t>
      </w:r>
      <w:proofErr w:type="gramStart"/>
      <w:r>
        <w:t>b</w:t>
      </w:r>
      <w:proofErr w:type="gramEnd"/>
      <w:r>
        <w:t>)</w:t>
      </w:r>
    </w:p>
    <w:tbl>
      <w:tblPr>
        <w:tblStyle w:val="TableGrid"/>
        <w:tblW w:w="0" w:type="auto"/>
        <w:tblLook w:val="04A0"/>
      </w:tblPr>
      <w:tblGrid>
        <w:gridCol w:w="498"/>
        <w:gridCol w:w="498"/>
      </w:tblGrid>
      <w:tr w:rsidR="00134AF3" w:rsidTr="00134AF3">
        <w:trPr>
          <w:trHeight w:val="276"/>
        </w:trPr>
        <w:tc>
          <w:tcPr>
            <w:tcW w:w="498" w:type="dxa"/>
          </w:tcPr>
          <w:p w:rsidR="00134AF3" w:rsidRDefault="00134AF3" w:rsidP="00134AF3">
            <w:pPr>
              <w:pStyle w:val="NoSpacing"/>
            </w:pPr>
            <w:r>
              <w:t>0.7</w:t>
            </w:r>
          </w:p>
        </w:tc>
        <w:tc>
          <w:tcPr>
            <w:tcW w:w="498" w:type="dxa"/>
          </w:tcPr>
          <w:p w:rsidR="00134AF3" w:rsidRDefault="00134AF3" w:rsidP="00134AF3">
            <w:pPr>
              <w:pStyle w:val="NoSpacing"/>
            </w:pPr>
            <w:r>
              <w:t>0.3</w:t>
            </w:r>
          </w:p>
        </w:tc>
      </w:tr>
      <w:tr w:rsidR="00134AF3" w:rsidTr="00134AF3">
        <w:trPr>
          <w:trHeight w:val="276"/>
        </w:trPr>
        <w:tc>
          <w:tcPr>
            <w:tcW w:w="498" w:type="dxa"/>
          </w:tcPr>
          <w:p w:rsidR="00134AF3" w:rsidRDefault="00134AF3" w:rsidP="00134AF3">
            <w:pPr>
              <w:pStyle w:val="NoSpacing"/>
            </w:pPr>
            <w:r>
              <w:t>0</w:t>
            </w:r>
          </w:p>
        </w:tc>
        <w:tc>
          <w:tcPr>
            <w:tcW w:w="498" w:type="dxa"/>
          </w:tcPr>
          <w:p w:rsidR="00134AF3" w:rsidRDefault="00134AF3" w:rsidP="00134AF3">
            <w:pPr>
              <w:pStyle w:val="NoSpacing"/>
            </w:pPr>
            <w:r>
              <w:t>1</w:t>
            </w:r>
          </w:p>
        </w:tc>
      </w:tr>
    </w:tbl>
    <w:p w:rsidR="00134AF3" w:rsidRDefault="00134AF3" w:rsidP="00134AF3">
      <w:pPr>
        <w:pStyle w:val="NoSpacing"/>
      </w:pPr>
      <w:r>
        <w:t xml:space="preserve">  c)                          </w:t>
      </w:r>
      <w:proofErr w:type="gramStart"/>
      <w:r>
        <w:t>d</w:t>
      </w:r>
      <w:proofErr w:type="gramEnd"/>
      <w:r>
        <w:t>)</w:t>
      </w:r>
    </w:p>
    <w:tbl>
      <w:tblPr>
        <w:tblStyle w:val="TableGrid"/>
        <w:tblpPr w:leftFromText="180" w:rightFromText="180" w:vertAnchor="text" w:horzAnchor="page" w:tblpX="3493" w:tblpY="146"/>
        <w:tblW w:w="0" w:type="auto"/>
        <w:tblLook w:val="04A0"/>
      </w:tblPr>
      <w:tblGrid>
        <w:gridCol w:w="498"/>
        <w:gridCol w:w="498"/>
      </w:tblGrid>
      <w:tr w:rsidR="00134AF3" w:rsidTr="00040982">
        <w:trPr>
          <w:trHeight w:val="276"/>
        </w:trPr>
        <w:tc>
          <w:tcPr>
            <w:tcW w:w="498" w:type="dxa"/>
          </w:tcPr>
          <w:p w:rsidR="00134AF3" w:rsidRDefault="00134AF3" w:rsidP="00134AF3">
            <w:pPr>
              <w:pStyle w:val="NoSpacing"/>
            </w:pPr>
            <w:r>
              <w:t>0.3</w:t>
            </w:r>
          </w:p>
        </w:tc>
        <w:tc>
          <w:tcPr>
            <w:tcW w:w="498" w:type="dxa"/>
          </w:tcPr>
          <w:p w:rsidR="00134AF3" w:rsidRDefault="00134AF3" w:rsidP="00134AF3">
            <w:pPr>
              <w:pStyle w:val="NoSpacing"/>
            </w:pPr>
            <w:r>
              <w:t>0.7</w:t>
            </w:r>
          </w:p>
        </w:tc>
      </w:tr>
      <w:tr w:rsidR="00134AF3" w:rsidTr="00040982">
        <w:trPr>
          <w:trHeight w:val="276"/>
        </w:trPr>
        <w:tc>
          <w:tcPr>
            <w:tcW w:w="498" w:type="dxa"/>
          </w:tcPr>
          <w:p w:rsidR="00134AF3" w:rsidRDefault="00134AF3" w:rsidP="00134AF3">
            <w:pPr>
              <w:pStyle w:val="NoSpacing"/>
            </w:pPr>
            <w:r>
              <w:t>1</w:t>
            </w:r>
          </w:p>
        </w:tc>
        <w:tc>
          <w:tcPr>
            <w:tcW w:w="498" w:type="dxa"/>
          </w:tcPr>
          <w:p w:rsidR="00134AF3" w:rsidRDefault="00134AF3" w:rsidP="00134AF3">
            <w:pPr>
              <w:pStyle w:val="NoSpacing"/>
            </w:pPr>
            <w:r>
              <w:t>0</w:t>
            </w:r>
          </w:p>
        </w:tc>
      </w:tr>
    </w:tbl>
    <w:p w:rsidR="00134AF3" w:rsidRDefault="00134AF3" w:rsidP="00134AF3">
      <w:pPr>
        <w:pStyle w:val="NoSpacing"/>
      </w:pPr>
    </w:p>
    <w:tbl>
      <w:tblPr>
        <w:tblStyle w:val="TableGrid"/>
        <w:tblW w:w="0" w:type="auto"/>
        <w:tblLook w:val="04A0"/>
      </w:tblPr>
      <w:tblGrid>
        <w:gridCol w:w="498"/>
        <w:gridCol w:w="498"/>
      </w:tblGrid>
      <w:tr w:rsidR="00134AF3" w:rsidTr="00040982">
        <w:trPr>
          <w:trHeight w:val="276"/>
        </w:trPr>
        <w:tc>
          <w:tcPr>
            <w:tcW w:w="498" w:type="dxa"/>
          </w:tcPr>
          <w:p w:rsidR="00134AF3" w:rsidRDefault="00134AF3" w:rsidP="00134AF3">
            <w:pPr>
              <w:pStyle w:val="NoSpacing"/>
            </w:pPr>
            <w:r>
              <w:t>0.9</w:t>
            </w:r>
          </w:p>
        </w:tc>
        <w:tc>
          <w:tcPr>
            <w:tcW w:w="498" w:type="dxa"/>
          </w:tcPr>
          <w:p w:rsidR="00134AF3" w:rsidRDefault="00134AF3" w:rsidP="00134AF3">
            <w:pPr>
              <w:pStyle w:val="NoSpacing"/>
            </w:pPr>
            <w:r>
              <w:t>0.1</w:t>
            </w:r>
          </w:p>
        </w:tc>
      </w:tr>
      <w:tr w:rsidR="00134AF3" w:rsidTr="00040982">
        <w:trPr>
          <w:trHeight w:val="276"/>
        </w:trPr>
        <w:tc>
          <w:tcPr>
            <w:tcW w:w="498" w:type="dxa"/>
          </w:tcPr>
          <w:p w:rsidR="00134AF3" w:rsidRDefault="00134AF3" w:rsidP="00134AF3">
            <w:pPr>
              <w:pStyle w:val="NoSpacing"/>
            </w:pPr>
            <w:r>
              <w:t>0.1</w:t>
            </w:r>
          </w:p>
        </w:tc>
        <w:tc>
          <w:tcPr>
            <w:tcW w:w="498" w:type="dxa"/>
          </w:tcPr>
          <w:p w:rsidR="00134AF3" w:rsidRDefault="00134AF3" w:rsidP="00134AF3">
            <w:pPr>
              <w:pStyle w:val="NoSpacing"/>
            </w:pPr>
            <w:r>
              <w:t>0.9</w:t>
            </w:r>
          </w:p>
        </w:tc>
      </w:tr>
    </w:tbl>
    <w:p w:rsidR="00134AF3" w:rsidRDefault="00134AF3" w:rsidP="00134AF3">
      <w:pPr>
        <w:pStyle w:val="NoSpacing"/>
      </w:pPr>
      <w:r>
        <w:t xml:space="preserve">  </w:t>
      </w:r>
    </w:p>
    <w:p w:rsidR="00134AF3" w:rsidRDefault="00134AF3" w:rsidP="00134AF3">
      <w:pPr>
        <w:pStyle w:val="NoSpacing"/>
      </w:pPr>
    </w:p>
    <w:p w:rsidR="00134AF3" w:rsidRDefault="00134AF3" w:rsidP="00134AF3">
      <w:pPr>
        <w:pStyle w:val="NoSpacing"/>
      </w:pPr>
      <w:r>
        <w:t>9. The Merton (1974) model implies that a position in a credit-sensitive bond is equivalent to:</w:t>
      </w:r>
    </w:p>
    <w:p w:rsidR="00134AF3" w:rsidRDefault="00134AF3" w:rsidP="00134AF3">
      <w:pPr>
        <w:pStyle w:val="NoSpacing"/>
      </w:pPr>
      <w:r>
        <w:t>a) A long position in the firm’s equity and a short position in a risk-free bond</w:t>
      </w:r>
    </w:p>
    <w:p w:rsidR="00134AF3" w:rsidRDefault="00134AF3" w:rsidP="00134AF3">
      <w:pPr>
        <w:pStyle w:val="NoSpacing"/>
      </w:pPr>
      <w:r>
        <w:t>b) A long put and a long call position on the firm’s assets</w:t>
      </w:r>
    </w:p>
    <w:p w:rsidR="00134AF3" w:rsidRDefault="00134AF3" w:rsidP="00134AF3">
      <w:pPr>
        <w:pStyle w:val="NoSpacing"/>
      </w:pPr>
      <w:r>
        <w:t>c) A long position in a credit-risk-free bond and a short put on the firm’s assets</w:t>
      </w:r>
    </w:p>
    <w:p w:rsidR="00134AF3" w:rsidRDefault="00134AF3" w:rsidP="00134AF3">
      <w:pPr>
        <w:pStyle w:val="NoSpacing"/>
      </w:pPr>
      <w:r>
        <w:t>d) An up-and-in call on a credit-risk-free bond and a short call on the firm’s equity</w:t>
      </w:r>
    </w:p>
    <w:p w:rsidR="00134AF3" w:rsidRDefault="00134AF3" w:rsidP="00134AF3">
      <w:pPr>
        <w:pStyle w:val="NoSpacing"/>
      </w:pPr>
    </w:p>
    <w:p w:rsidR="00134AF3" w:rsidRDefault="00134AF3" w:rsidP="00134AF3">
      <w:pPr>
        <w:pStyle w:val="NoSpacing"/>
      </w:pPr>
      <w:r>
        <w:t>10. Given a one-year probability of default of 20%, what would be the cumulative probability of default for the bond for the three years?</w:t>
      </w:r>
    </w:p>
    <w:p w:rsidR="00134AF3" w:rsidRDefault="00134AF3" w:rsidP="00134AF3">
      <w:pPr>
        <w:pStyle w:val="NoSpacing"/>
      </w:pPr>
      <w:r>
        <w:t>a) 45.4%</w:t>
      </w:r>
    </w:p>
    <w:p w:rsidR="00134AF3" w:rsidRDefault="00134AF3" w:rsidP="00134AF3">
      <w:pPr>
        <w:pStyle w:val="NoSpacing"/>
      </w:pPr>
      <w:r>
        <w:t>b) 48.8%</w:t>
      </w:r>
    </w:p>
    <w:p w:rsidR="00134AF3" w:rsidRDefault="00134AF3" w:rsidP="00134AF3">
      <w:pPr>
        <w:pStyle w:val="NoSpacing"/>
      </w:pPr>
      <w:r>
        <w:t>c) 60.5%</w:t>
      </w:r>
    </w:p>
    <w:p w:rsidR="00134AF3" w:rsidRDefault="00134AF3" w:rsidP="00134AF3">
      <w:pPr>
        <w:pStyle w:val="NoSpacing"/>
      </w:pPr>
      <w:r>
        <w:t>d) None of the above</w:t>
      </w:r>
    </w:p>
    <w:p w:rsidR="00134AF3" w:rsidRDefault="00134AF3" w:rsidP="00134AF3">
      <w:pPr>
        <w:pStyle w:val="NoSpacing"/>
      </w:pPr>
    </w:p>
    <w:p w:rsidR="00134AF3" w:rsidRDefault="00134AF3" w:rsidP="00134AF3">
      <w:pPr>
        <w:pStyle w:val="NoSpacing"/>
      </w:pPr>
      <w:r>
        <w:t>11. The Bank for International Settlement’s, Basel Committee on Banking Supervision, has defined Operational risk as “The risk of loss due to inadequate or failed internal processes, people, and systems, or from external events.” This definition excludes:</w:t>
      </w:r>
    </w:p>
    <w:p w:rsidR="00134AF3" w:rsidRDefault="00134AF3" w:rsidP="00134AF3">
      <w:pPr>
        <w:pStyle w:val="NoSpacing"/>
      </w:pPr>
      <w:r>
        <w:t>a) Reputational risk</w:t>
      </w:r>
    </w:p>
    <w:p w:rsidR="00134AF3" w:rsidRDefault="00134AF3" w:rsidP="00134AF3">
      <w:pPr>
        <w:pStyle w:val="NoSpacing"/>
      </w:pPr>
      <w:r>
        <w:t>b) Strategic risk</w:t>
      </w:r>
    </w:p>
    <w:p w:rsidR="00134AF3" w:rsidRDefault="00134AF3" w:rsidP="00134AF3">
      <w:pPr>
        <w:pStyle w:val="NoSpacing"/>
      </w:pPr>
      <w:r>
        <w:t>c) Legal risk</w:t>
      </w:r>
    </w:p>
    <w:p w:rsidR="00134AF3" w:rsidRDefault="00134AF3" w:rsidP="00134AF3">
      <w:pPr>
        <w:pStyle w:val="NoSpacing"/>
      </w:pPr>
      <w:proofErr w:type="gramStart"/>
      <w:r>
        <w:t>d</w:t>
      </w:r>
      <w:proofErr w:type="gramEnd"/>
      <w:r>
        <w:t>) a) and b)</w:t>
      </w:r>
    </w:p>
    <w:p w:rsidR="00134AF3" w:rsidRDefault="00134AF3" w:rsidP="00134AF3">
      <w:pPr>
        <w:pStyle w:val="NoSpacing"/>
      </w:pPr>
    </w:p>
    <w:p w:rsidR="00134AF3" w:rsidRDefault="00134AF3" w:rsidP="00134AF3">
      <w:pPr>
        <w:pStyle w:val="NoSpacing"/>
      </w:pPr>
      <w:r>
        <w:t>12. The Bank for International Settlement’s, Basel Committee on Banking Supervision recommends the operational risk management process at the corporate and business unit levels to be validated by:</w:t>
      </w:r>
    </w:p>
    <w:p w:rsidR="00134AF3" w:rsidRDefault="00134AF3" w:rsidP="00134AF3">
      <w:pPr>
        <w:pStyle w:val="NoSpacing"/>
      </w:pPr>
      <w:r>
        <w:t>a) Audit</w:t>
      </w:r>
    </w:p>
    <w:p w:rsidR="00134AF3" w:rsidRDefault="00134AF3" w:rsidP="00134AF3">
      <w:pPr>
        <w:pStyle w:val="NoSpacing"/>
      </w:pPr>
      <w:r>
        <w:t>b) A committee of the board of directors</w:t>
      </w:r>
    </w:p>
    <w:p w:rsidR="00134AF3" w:rsidRDefault="00134AF3" w:rsidP="00134AF3">
      <w:pPr>
        <w:pStyle w:val="NoSpacing"/>
      </w:pPr>
      <w:r>
        <w:lastRenderedPageBreak/>
        <w:t>c) A designated member of senior management</w:t>
      </w:r>
    </w:p>
    <w:p w:rsidR="00134AF3" w:rsidRDefault="00134AF3" w:rsidP="00134AF3">
      <w:pPr>
        <w:pStyle w:val="NoSpacing"/>
      </w:pPr>
      <w:r>
        <w:t>d) None of the above</w:t>
      </w: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p>
    <w:p w:rsidR="0089727B" w:rsidRDefault="0089727B" w:rsidP="00134AF3">
      <w:pPr>
        <w:pStyle w:val="NoSpacing"/>
      </w:pPr>
      <w:bookmarkStart w:id="0" w:name="_GoBack"/>
      <w:bookmarkEnd w:id="0"/>
    </w:p>
    <w:p w:rsidR="00243356" w:rsidRDefault="00243356" w:rsidP="00243356">
      <w:pPr>
        <w:pStyle w:val="NoSpacing"/>
      </w:pPr>
      <w:r>
        <w:lastRenderedPageBreak/>
        <w:t>Part III</w:t>
      </w:r>
    </w:p>
    <w:p w:rsidR="00162A71" w:rsidRDefault="00162A71" w:rsidP="0089727B">
      <w:pPr>
        <w:pStyle w:val="NoSpacing"/>
      </w:pPr>
    </w:p>
    <w:p w:rsidR="0089727B" w:rsidRDefault="0089727B" w:rsidP="0089727B">
      <w:pPr>
        <w:pStyle w:val="NoSpacing"/>
      </w:pPr>
      <w:r>
        <w:t xml:space="preserve">1. Which position would have partially hedged Nick </w:t>
      </w:r>
      <w:proofErr w:type="spellStart"/>
      <w:r>
        <w:t>Leeson’s</w:t>
      </w:r>
      <w:proofErr w:type="spellEnd"/>
      <w:r>
        <w:t xml:space="preserve"> primary option position at Barings?</w:t>
      </w:r>
    </w:p>
    <w:p w:rsidR="0089727B" w:rsidRDefault="0089727B" w:rsidP="0089727B">
      <w:pPr>
        <w:pStyle w:val="NoSpacing"/>
      </w:pPr>
      <w:r>
        <w:t>a) Long futures</w:t>
      </w:r>
    </w:p>
    <w:p w:rsidR="0089727B" w:rsidRDefault="0089727B" w:rsidP="0089727B">
      <w:pPr>
        <w:pStyle w:val="NoSpacing"/>
      </w:pPr>
      <w:r>
        <w:t>b) Short Strangle</w:t>
      </w:r>
    </w:p>
    <w:p w:rsidR="0089727B" w:rsidRDefault="0089727B" w:rsidP="0089727B">
      <w:pPr>
        <w:pStyle w:val="NoSpacing"/>
      </w:pPr>
      <w:r>
        <w:t>c) Long Strangle</w:t>
      </w:r>
    </w:p>
    <w:p w:rsidR="0089727B" w:rsidRDefault="0089727B" w:rsidP="0089727B">
      <w:pPr>
        <w:pStyle w:val="NoSpacing"/>
      </w:pPr>
      <w:r>
        <w:t>d) Total Return Swap</w:t>
      </w:r>
    </w:p>
    <w:p w:rsidR="00162A71" w:rsidRDefault="00162A71" w:rsidP="0089727B">
      <w:pPr>
        <w:pStyle w:val="NoSpacing"/>
      </w:pPr>
    </w:p>
    <w:p w:rsidR="0089727B" w:rsidRDefault="0089727B" w:rsidP="0089727B">
      <w:pPr>
        <w:pStyle w:val="NoSpacing"/>
      </w:pPr>
      <w:r>
        <w:t xml:space="preserve">2. Nick </w:t>
      </w:r>
      <w:proofErr w:type="spellStart"/>
      <w:r>
        <w:t>Leeson</w:t>
      </w:r>
      <w:proofErr w:type="spellEnd"/>
      <w:r>
        <w:t xml:space="preserve"> tried to hide his losses using what method?</w:t>
      </w:r>
    </w:p>
    <w:p w:rsidR="0089727B" w:rsidRDefault="0089727B" w:rsidP="0089727B">
      <w:pPr>
        <w:pStyle w:val="NoSpacing"/>
      </w:pPr>
      <w:r>
        <w:t xml:space="preserve">a) </w:t>
      </w:r>
      <w:proofErr w:type="spellStart"/>
      <w:r>
        <w:t>Portaling</w:t>
      </w:r>
      <w:proofErr w:type="spellEnd"/>
    </w:p>
    <w:p w:rsidR="0089727B" w:rsidRDefault="0089727B" w:rsidP="0089727B">
      <w:pPr>
        <w:pStyle w:val="NoSpacing"/>
      </w:pPr>
      <w:r>
        <w:t>b) Switching</w:t>
      </w:r>
    </w:p>
    <w:p w:rsidR="0089727B" w:rsidRDefault="0089727B" w:rsidP="0089727B">
      <w:pPr>
        <w:pStyle w:val="NoSpacing"/>
      </w:pPr>
      <w:r>
        <w:t>c) Re-margining</w:t>
      </w:r>
    </w:p>
    <w:p w:rsidR="0089727B" w:rsidRDefault="0089727B" w:rsidP="0089727B">
      <w:pPr>
        <w:pStyle w:val="NoSpacing"/>
      </w:pPr>
      <w:r>
        <w:t>d) Volatility Smiles</w:t>
      </w:r>
    </w:p>
    <w:p w:rsidR="00162A71" w:rsidRDefault="00162A71" w:rsidP="0089727B">
      <w:pPr>
        <w:pStyle w:val="NoSpacing"/>
      </w:pPr>
    </w:p>
    <w:p w:rsidR="0089727B" w:rsidRDefault="0089727B" w:rsidP="0089727B">
      <w:pPr>
        <w:pStyle w:val="NoSpacing"/>
      </w:pPr>
      <w:r>
        <w:t xml:space="preserve">3. What caused the losses for </w:t>
      </w:r>
      <w:proofErr w:type="spellStart"/>
      <w:r>
        <w:t>Metallgesellschaft</w:t>
      </w:r>
      <w:proofErr w:type="spellEnd"/>
      <w:r>
        <w:t>?</w:t>
      </w:r>
    </w:p>
    <w:p w:rsidR="0089727B" w:rsidRDefault="0089727B" w:rsidP="0089727B">
      <w:pPr>
        <w:pStyle w:val="NoSpacing"/>
      </w:pPr>
      <w:r>
        <w:t>a) At the final maturity date the price in the futures was well below the market price</w:t>
      </w:r>
    </w:p>
    <w:p w:rsidR="0089727B" w:rsidRDefault="0089727B" w:rsidP="0089727B">
      <w:pPr>
        <w:pStyle w:val="NoSpacing"/>
      </w:pPr>
      <w:r>
        <w:t>b) To hold the position, they assumed a constant interest rate to invest the proceeds</w:t>
      </w:r>
    </w:p>
    <w:p w:rsidR="0089727B" w:rsidRDefault="0089727B" w:rsidP="0089727B">
      <w:pPr>
        <w:pStyle w:val="NoSpacing"/>
      </w:pPr>
      <w:r>
        <w:t>c) At the final maturity date the price in the futures was well above the market price</w:t>
      </w:r>
    </w:p>
    <w:p w:rsidR="0089727B" w:rsidRDefault="0089727B" w:rsidP="0089727B">
      <w:pPr>
        <w:pStyle w:val="NoSpacing"/>
      </w:pPr>
      <w:r>
        <w:t>d) To hold the position, they assumed an unbounded pool of resources</w:t>
      </w:r>
    </w:p>
    <w:p w:rsidR="00162A71" w:rsidRDefault="00162A71" w:rsidP="0089727B">
      <w:pPr>
        <w:pStyle w:val="NoSpacing"/>
      </w:pPr>
    </w:p>
    <w:p w:rsidR="0089727B" w:rsidRDefault="0089727B" w:rsidP="0089727B">
      <w:pPr>
        <w:pStyle w:val="NoSpacing"/>
      </w:pPr>
      <w:r>
        <w:t xml:space="preserve">4. In the </w:t>
      </w:r>
      <w:proofErr w:type="spellStart"/>
      <w:r>
        <w:t>Metallgesellschaft</w:t>
      </w:r>
      <w:proofErr w:type="spellEnd"/>
      <w:r>
        <w:t xml:space="preserve"> case, what was the communication problem between the subsidiary and the</w:t>
      </w:r>
    </w:p>
    <w:p w:rsidR="0089727B" w:rsidRDefault="0089727B" w:rsidP="0089727B">
      <w:pPr>
        <w:pStyle w:val="NoSpacing"/>
      </w:pPr>
      <w:proofErr w:type="gramStart"/>
      <w:r>
        <w:t>parent</w:t>
      </w:r>
      <w:proofErr w:type="gramEnd"/>
      <w:r>
        <w:t xml:space="preserve"> company?</w:t>
      </w:r>
    </w:p>
    <w:p w:rsidR="0089727B" w:rsidRDefault="0089727B" w:rsidP="0089727B">
      <w:pPr>
        <w:pStyle w:val="NoSpacing"/>
      </w:pPr>
      <w:r>
        <w:t>a) They did not communicate the loss as soon as it started to kick in</w:t>
      </w:r>
    </w:p>
    <w:p w:rsidR="0089727B" w:rsidRDefault="0089727B" w:rsidP="0089727B">
      <w:pPr>
        <w:pStyle w:val="NoSpacing"/>
      </w:pPr>
      <w:r>
        <w:t>b) They did not communicate the intrinsic bet on the price of gas</w:t>
      </w:r>
    </w:p>
    <w:p w:rsidR="0089727B" w:rsidRDefault="0089727B" w:rsidP="0089727B">
      <w:pPr>
        <w:pStyle w:val="NoSpacing"/>
      </w:pPr>
      <w:r>
        <w:t>c) They did not explain the economics of the strategy</w:t>
      </w:r>
    </w:p>
    <w:p w:rsidR="0089727B" w:rsidRDefault="0089727B" w:rsidP="0089727B">
      <w:pPr>
        <w:pStyle w:val="NoSpacing"/>
      </w:pPr>
      <w:r>
        <w:t>d) They did not explain why they had to buy more future contracts</w:t>
      </w:r>
    </w:p>
    <w:p w:rsidR="00162A71" w:rsidRDefault="00162A71" w:rsidP="0089727B">
      <w:pPr>
        <w:pStyle w:val="NoSpacing"/>
      </w:pPr>
    </w:p>
    <w:p w:rsidR="0089727B" w:rsidRDefault="0089727B" w:rsidP="0089727B">
      <w:pPr>
        <w:pStyle w:val="NoSpacing"/>
      </w:pPr>
      <w:r>
        <w:t>5. The strategy of getting creditors to lend money and invest equity in LTCM had the effect of:</w:t>
      </w:r>
    </w:p>
    <w:p w:rsidR="0089727B" w:rsidRDefault="0089727B" w:rsidP="0089727B">
      <w:pPr>
        <w:pStyle w:val="NoSpacing"/>
      </w:pPr>
      <w:r>
        <w:t>a) Increasing transparency to the creditors</w:t>
      </w:r>
    </w:p>
    <w:p w:rsidR="0089727B" w:rsidRDefault="0089727B" w:rsidP="0089727B">
      <w:pPr>
        <w:pStyle w:val="NoSpacing"/>
      </w:pPr>
      <w:r>
        <w:t>b) Reducing leverage</w:t>
      </w:r>
    </w:p>
    <w:p w:rsidR="0089727B" w:rsidRDefault="0089727B" w:rsidP="0089727B">
      <w:pPr>
        <w:pStyle w:val="NoSpacing"/>
      </w:pPr>
      <w:r>
        <w:t>c) Giving LTCM partners a put on the value of the fund</w:t>
      </w:r>
    </w:p>
    <w:p w:rsidR="0089727B" w:rsidRDefault="0089727B" w:rsidP="0089727B">
      <w:pPr>
        <w:pStyle w:val="NoSpacing"/>
      </w:pPr>
      <w:r>
        <w:t>d) No relevant effect as equity and debt offset each other</w:t>
      </w:r>
    </w:p>
    <w:p w:rsidR="00162A71" w:rsidRDefault="00162A71" w:rsidP="00162A71">
      <w:pPr>
        <w:pStyle w:val="NoSpacing"/>
      </w:pPr>
    </w:p>
    <w:p w:rsidR="00162A71" w:rsidRDefault="00162A71" w:rsidP="00162A71">
      <w:pPr>
        <w:pStyle w:val="NoSpacing"/>
      </w:pPr>
      <w:r>
        <w:t>6. LTCM’s balance sheet as of August 31, 1998 showed the following:</w:t>
      </w:r>
    </w:p>
    <w:p w:rsidR="00162A71" w:rsidRDefault="00162A71" w:rsidP="00162A71">
      <w:pPr>
        <w:pStyle w:val="NoSpacing"/>
      </w:pPr>
      <w:r>
        <w:t>a) $100 billion in assets, $-0.5 billion in equity</w:t>
      </w:r>
    </w:p>
    <w:p w:rsidR="00162A71" w:rsidRDefault="00162A71" w:rsidP="00162A71">
      <w:pPr>
        <w:pStyle w:val="NoSpacing"/>
      </w:pPr>
      <w:r>
        <w:t>b) $125 billion in assets, $2.3 billion in equity</w:t>
      </w:r>
    </w:p>
    <w:p w:rsidR="00162A71" w:rsidRDefault="00162A71" w:rsidP="00162A71">
      <w:pPr>
        <w:pStyle w:val="NoSpacing"/>
      </w:pPr>
      <w:r>
        <w:t xml:space="preserve">c) $400 billion </w:t>
      </w:r>
      <w:proofErr w:type="gramStart"/>
      <w:r>
        <w:t>in</w:t>
      </w:r>
      <w:proofErr w:type="gramEnd"/>
      <w:r>
        <w:t xml:space="preserve"> assets, $4.0 billion in equity</w:t>
      </w:r>
    </w:p>
    <w:p w:rsidR="00162A71" w:rsidRDefault="00162A71" w:rsidP="00162A71">
      <w:pPr>
        <w:pStyle w:val="NoSpacing"/>
      </w:pPr>
      <w:r>
        <w:t>d) $125 billion in assets, $6.1 billion in equity</w:t>
      </w:r>
    </w:p>
    <w:p w:rsidR="00162A71" w:rsidRDefault="00162A71" w:rsidP="00162A71">
      <w:pPr>
        <w:pStyle w:val="NoSpacing"/>
      </w:pPr>
    </w:p>
    <w:p w:rsidR="00162A71" w:rsidRDefault="00162A71" w:rsidP="00162A71">
      <w:pPr>
        <w:pStyle w:val="NoSpacing"/>
      </w:pPr>
      <w:r>
        <w:t>7. According to the G-30, derivative credit exposure should be measured by:</w:t>
      </w:r>
    </w:p>
    <w:p w:rsidR="00162A71" w:rsidRDefault="00162A71" w:rsidP="00162A71">
      <w:pPr>
        <w:pStyle w:val="NoSpacing"/>
      </w:pPr>
      <w:r>
        <w:t>a) Current Exposure</w:t>
      </w:r>
    </w:p>
    <w:p w:rsidR="00162A71" w:rsidRDefault="00162A71" w:rsidP="00162A71">
      <w:pPr>
        <w:pStyle w:val="NoSpacing"/>
      </w:pPr>
      <w:r>
        <w:t>b) Potential Exposure</w:t>
      </w:r>
    </w:p>
    <w:p w:rsidR="00162A71" w:rsidRDefault="00162A71" w:rsidP="00162A71">
      <w:pPr>
        <w:pStyle w:val="NoSpacing"/>
      </w:pPr>
      <w:r>
        <w:t xml:space="preserve">c) </w:t>
      </w:r>
      <w:proofErr w:type="gramStart"/>
      <w:r>
        <w:t>a</w:t>
      </w:r>
      <w:proofErr w:type="gramEnd"/>
      <w:r>
        <w:t>) plus b)</w:t>
      </w:r>
    </w:p>
    <w:p w:rsidR="00162A71" w:rsidRDefault="00162A71" w:rsidP="00162A71">
      <w:pPr>
        <w:pStyle w:val="NoSpacing"/>
      </w:pPr>
      <w:proofErr w:type="gramStart"/>
      <w:r>
        <w:t>d</w:t>
      </w:r>
      <w:proofErr w:type="gramEnd"/>
      <w:r>
        <w:t>) a) plus b) minus Posted Collateral</w:t>
      </w:r>
    </w:p>
    <w:p w:rsidR="00162A71" w:rsidRDefault="00162A71" w:rsidP="00162A71">
      <w:pPr>
        <w:pStyle w:val="NoSpacing"/>
      </w:pPr>
    </w:p>
    <w:p w:rsidR="00162A71" w:rsidRDefault="00162A71" w:rsidP="00162A71">
      <w:pPr>
        <w:pStyle w:val="NoSpacing"/>
      </w:pPr>
    </w:p>
    <w:p w:rsidR="00162A71" w:rsidRDefault="00162A71" w:rsidP="00162A71">
      <w:pPr>
        <w:pStyle w:val="NoSpacing"/>
      </w:pPr>
    </w:p>
    <w:p w:rsidR="00162A71" w:rsidRDefault="00162A71" w:rsidP="00162A71">
      <w:pPr>
        <w:pStyle w:val="NoSpacing"/>
      </w:pPr>
    </w:p>
    <w:p w:rsidR="00162A71" w:rsidRDefault="00162A71" w:rsidP="00162A71">
      <w:pPr>
        <w:pStyle w:val="NoSpacing"/>
      </w:pPr>
      <w:r>
        <w:lastRenderedPageBreak/>
        <w:t>8. According to the G-30 report, an ISDA master agreement is:</w:t>
      </w:r>
    </w:p>
    <w:p w:rsidR="00162A71" w:rsidRDefault="00162A71" w:rsidP="00162A71">
      <w:pPr>
        <w:pStyle w:val="NoSpacing"/>
      </w:pPr>
      <w:proofErr w:type="gramStart"/>
      <w:r>
        <w:t>a</w:t>
      </w:r>
      <w:proofErr w:type="gramEnd"/>
      <w:r>
        <w:t>) Sufficient to prevent loss from counterparty default</w:t>
      </w:r>
    </w:p>
    <w:p w:rsidR="00162A71" w:rsidRDefault="00162A71" w:rsidP="00162A71">
      <w:pPr>
        <w:pStyle w:val="NoSpacing"/>
      </w:pPr>
      <w:r>
        <w:t>b) Not substantially enhanced by a netting provision as bankruptcy courts widely recognize netting as a</w:t>
      </w:r>
    </w:p>
    <w:p w:rsidR="00162A71" w:rsidRDefault="00162A71" w:rsidP="00162A71">
      <w:pPr>
        <w:pStyle w:val="NoSpacing"/>
      </w:pPr>
      <w:proofErr w:type="gramStart"/>
      <w:r>
        <w:t>best</w:t>
      </w:r>
      <w:proofErr w:type="gramEnd"/>
      <w:r>
        <w:t xml:space="preserve"> practice</w:t>
      </w:r>
    </w:p>
    <w:p w:rsidR="00162A71" w:rsidRDefault="00162A71" w:rsidP="00162A71">
      <w:pPr>
        <w:pStyle w:val="NoSpacing"/>
      </w:pPr>
      <w:proofErr w:type="gramStart"/>
      <w:r>
        <w:t>c</w:t>
      </w:r>
      <w:proofErr w:type="gramEnd"/>
      <w:r>
        <w:t>) Enhanced when multiple master agreements exist between the same counterparties so that the legal risk</w:t>
      </w:r>
    </w:p>
    <w:p w:rsidR="00162A71" w:rsidRDefault="00162A71" w:rsidP="00162A71">
      <w:pPr>
        <w:pStyle w:val="NoSpacing"/>
      </w:pPr>
      <w:proofErr w:type="gramStart"/>
      <w:r>
        <w:t>of</w:t>
      </w:r>
      <w:proofErr w:type="gramEnd"/>
      <w:r>
        <w:t xml:space="preserve"> an oversight in documentation is reduced</w:t>
      </w:r>
    </w:p>
    <w:p w:rsidR="00162A71" w:rsidRDefault="00162A71" w:rsidP="00162A71">
      <w:pPr>
        <w:pStyle w:val="NoSpacing"/>
      </w:pPr>
      <w:r>
        <w:t>d) None of these</w:t>
      </w:r>
    </w:p>
    <w:p w:rsidR="00162A71" w:rsidRDefault="00162A71" w:rsidP="00162A71">
      <w:pPr>
        <w:pStyle w:val="NoSpacing"/>
      </w:pPr>
    </w:p>
    <w:p w:rsidR="00162A71" w:rsidRDefault="00162A71" w:rsidP="00162A71">
      <w:pPr>
        <w:pStyle w:val="NoSpacing"/>
      </w:pPr>
      <w:r>
        <w:t>9. Which of the following is not part of PRMIA’s guidance on Best Practices?</w:t>
      </w:r>
    </w:p>
    <w:p w:rsidR="00162A71" w:rsidRDefault="00162A71" w:rsidP="00162A71">
      <w:pPr>
        <w:pStyle w:val="NoSpacing"/>
      </w:pPr>
      <w:r>
        <w:t>a) Only standard methods of assessing risk should be used</w:t>
      </w:r>
    </w:p>
    <w:p w:rsidR="00162A71" w:rsidRDefault="00162A71" w:rsidP="00162A71">
      <w:pPr>
        <w:pStyle w:val="NoSpacing"/>
      </w:pPr>
      <w:r>
        <w:t>b) PRMIA members must possess, be under the supervision of someone who possesses, or inform their</w:t>
      </w:r>
    </w:p>
    <w:p w:rsidR="00162A71" w:rsidRDefault="00162A71" w:rsidP="00162A71">
      <w:pPr>
        <w:pStyle w:val="NoSpacing"/>
      </w:pPr>
      <w:proofErr w:type="gramStart"/>
      <w:r>
        <w:t>supervisor</w:t>
      </w:r>
      <w:proofErr w:type="gramEnd"/>
      <w:r>
        <w:t xml:space="preserve"> of the lack of required skills and/or certification to complete their risk assessment work</w:t>
      </w:r>
    </w:p>
    <w:p w:rsidR="00162A71" w:rsidRDefault="00162A71" w:rsidP="00162A71">
      <w:pPr>
        <w:pStyle w:val="NoSpacing"/>
      </w:pPr>
      <w:r>
        <w:t>c) PRMIA members must not intentionally deceive others</w:t>
      </w:r>
    </w:p>
    <w:p w:rsidR="00162A71" w:rsidRDefault="00162A71" w:rsidP="00162A71">
      <w:pPr>
        <w:pStyle w:val="NoSpacing"/>
      </w:pPr>
      <w:r>
        <w:t>d) PRMIA members must value validation of their work by peers</w:t>
      </w:r>
    </w:p>
    <w:p w:rsidR="00134AF3" w:rsidRDefault="00134AF3" w:rsidP="00134AF3"/>
    <w:sectPr w:rsidR="00134AF3" w:rsidSect="006D2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Grande">
    <w:panose1 w:val="00000000000000000000"/>
    <w:charset w:val="00"/>
    <w:family w:val="auto"/>
    <w:notTrueType/>
    <w:pitch w:val="default"/>
    <w:sig w:usb0="00000003" w:usb1="00000000" w:usb2="00000000" w:usb3="00000000" w:csb0="00000001" w:csb1="00000000"/>
  </w:font>
  <w:font w:name="ScalaSans-Italic">
    <w:panose1 w:val="00000000000000000000"/>
    <w:charset w:val="00"/>
    <w:family w:val="roman"/>
    <w:notTrueType/>
    <w:pitch w:val="default"/>
    <w:sig w:usb0="00000003" w:usb1="00000000" w:usb2="00000000" w:usb3="00000000" w:csb0="00000001" w:csb1="00000000"/>
  </w:font>
  <w:font w:name="Scala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925E6"/>
    <w:multiLevelType w:val="hybridMultilevel"/>
    <w:tmpl w:val="93F25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853D02"/>
    <w:multiLevelType w:val="hybridMultilevel"/>
    <w:tmpl w:val="E82C8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160"/>
    <w:rsid w:val="000D6160"/>
    <w:rsid w:val="00134AF3"/>
    <w:rsid w:val="00162A71"/>
    <w:rsid w:val="001B6C1E"/>
    <w:rsid w:val="00243356"/>
    <w:rsid w:val="00397A6E"/>
    <w:rsid w:val="003C7CF6"/>
    <w:rsid w:val="005A2EEF"/>
    <w:rsid w:val="00670A59"/>
    <w:rsid w:val="006738DF"/>
    <w:rsid w:val="006D259E"/>
    <w:rsid w:val="0089727B"/>
    <w:rsid w:val="00945911"/>
    <w:rsid w:val="00A71A77"/>
    <w:rsid w:val="00B6260C"/>
    <w:rsid w:val="00CE39BC"/>
    <w:rsid w:val="00EE0E7F"/>
    <w:rsid w:val="00FB4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A77"/>
    <w:pPr>
      <w:ind w:left="720"/>
      <w:contextualSpacing/>
    </w:pPr>
  </w:style>
  <w:style w:type="paragraph" w:styleId="NoSpacing">
    <w:name w:val="No Spacing"/>
    <w:uiPriority w:val="1"/>
    <w:qFormat/>
    <w:rsid w:val="00134A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A77"/>
    <w:pPr>
      <w:ind w:left="720"/>
      <w:contextualSpacing/>
    </w:pPr>
  </w:style>
  <w:style w:type="paragraph" w:styleId="NoSpacing">
    <w:name w:val="No Spacing"/>
    <w:uiPriority w:val="1"/>
    <w:qFormat/>
    <w:rsid w:val="00134A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KCI</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Veen</dc:creator>
  <cp:lastModifiedBy>k114811</cp:lastModifiedBy>
  <cp:revision>2</cp:revision>
  <dcterms:created xsi:type="dcterms:W3CDTF">2017-05-23T22:56:00Z</dcterms:created>
  <dcterms:modified xsi:type="dcterms:W3CDTF">2017-05-23T22:56:00Z</dcterms:modified>
</cp:coreProperties>
</file>